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235F5" w14:textId="77777777" w:rsidR="00EC67E7" w:rsidRDefault="00EC67E7" w:rsidP="00EC67E7">
      <w:pPr>
        <w:spacing w:after="160" w:line="259" w:lineRule="auto"/>
        <w:rPr>
          <w:b/>
          <w:sz w:val="24"/>
          <w:szCs w:val="24"/>
          <w:u w:val="single"/>
        </w:rPr>
      </w:pPr>
      <w:r>
        <w:rPr>
          <w:sz w:val="24"/>
          <w:szCs w:val="24"/>
        </w:rPr>
        <w:t xml:space="preserve">     </w:t>
      </w:r>
      <w:r>
        <w:rPr>
          <w:b/>
          <w:sz w:val="24"/>
          <w:szCs w:val="24"/>
          <w:u w:val="single"/>
        </w:rPr>
        <w:t>Instructions for Use: Letter of Medical Necessity for 300mg Dosage Template with Clinical References</w:t>
      </w:r>
    </w:p>
    <w:p w14:paraId="093CCE40" w14:textId="77777777" w:rsidR="00EC67E7" w:rsidRDefault="00EC67E7" w:rsidP="00EC67E7">
      <w:pPr>
        <w:rPr>
          <w:sz w:val="24"/>
          <w:szCs w:val="24"/>
        </w:rPr>
      </w:pPr>
      <w:r>
        <w:rPr>
          <w:sz w:val="24"/>
          <w:szCs w:val="24"/>
        </w:rPr>
        <w:t xml:space="preserve">If your patient’s health insurance provider restricts coverage on VYEPTI® (eptinezumab-jjmr), submission of a letter of medical necessity may help ensure your patients who need VYEPTI are able to receive it. This sample letter will help demonstrate a patient’s need for access to therapy and provide examples of published clinical references based on common payor requirements, which may vary. Inclusion of published clinical references based on patient presentation, and the unique payor requirements identified in the benefits investigation process, may assist the prior authorization submission for your patient. </w:t>
      </w:r>
    </w:p>
    <w:p w14:paraId="7CC12358" w14:textId="77777777" w:rsidR="00EC67E7" w:rsidRDefault="00EC67E7" w:rsidP="00EC67E7">
      <w:pPr>
        <w:spacing w:before="20" w:line="259" w:lineRule="auto"/>
        <w:jc w:val="both"/>
        <w:rPr>
          <w:sz w:val="24"/>
          <w:szCs w:val="24"/>
        </w:rPr>
      </w:pPr>
    </w:p>
    <w:p w14:paraId="1875ECB8" w14:textId="77777777" w:rsidR="00EC67E7" w:rsidRDefault="00EC67E7" w:rsidP="00EC67E7">
      <w:pPr>
        <w:spacing w:after="160" w:line="256" w:lineRule="auto"/>
        <w:rPr>
          <w:sz w:val="24"/>
          <w:szCs w:val="24"/>
        </w:rPr>
      </w:pPr>
      <w:r>
        <w:rPr>
          <w:sz w:val="24"/>
          <w:szCs w:val="24"/>
        </w:rPr>
        <w:t>To use the template:</w:t>
      </w:r>
    </w:p>
    <w:p w14:paraId="7F070B28" w14:textId="77777777" w:rsidR="00EC67E7" w:rsidRDefault="00EC67E7" w:rsidP="00EC67E7">
      <w:pPr>
        <w:rPr>
          <w:sz w:val="24"/>
          <w:szCs w:val="24"/>
        </w:rPr>
      </w:pPr>
      <w:r>
        <w:rPr>
          <w:sz w:val="24"/>
          <w:szCs w:val="24"/>
        </w:rPr>
        <w:t xml:space="preserve">Replace all or delete all nonrelevant </w:t>
      </w:r>
      <w:r>
        <w:rPr>
          <w:b/>
          <w:color w:val="FF00FF"/>
          <w:sz w:val="24"/>
          <w:szCs w:val="24"/>
        </w:rPr>
        <w:t xml:space="preserve">magenta text </w:t>
      </w:r>
      <w:r>
        <w:rPr>
          <w:sz w:val="24"/>
          <w:szCs w:val="24"/>
        </w:rPr>
        <w:t>with patient-specific relevant information.</w:t>
      </w:r>
    </w:p>
    <w:p w14:paraId="4C440633" w14:textId="77777777" w:rsidR="00EC67E7" w:rsidRDefault="00EC67E7" w:rsidP="00EC67E7">
      <w:pPr>
        <w:rPr>
          <w:sz w:val="28"/>
          <w:szCs w:val="28"/>
        </w:rPr>
      </w:pPr>
      <w:r>
        <w:rPr>
          <w:sz w:val="28"/>
          <w:szCs w:val="28"/>
        </w:rPr>
        <w:t xml:space="preserve"> </w:t>
      </w:r>
    </w:p>
    <w:p w14:paraId="68AEB85A" w14:textId="77777777" w:rsidR="00EC67E7" w:rsidRDefault="00EC67E7" w:rsidP="00EC67E7">
      <w:pPr>
        <w:spacing w:line="256" w:lineRule="auto"/>
        <w:rPr>
          <w:sz w:val="24"/>
          <w:szCs w:val="24"/>
        </w:rPr>
      </w:pPr>
      <w:r>
        <w:rPr>
          <w:sz w:val="24"/>
          <w:szCs w:val="24"/>
        </w:rPr>
        <w:t>Please see below a list of potential references you may want to consult and cite, based on your clinical judgment and the patient for whom you are seeking payor access.</w:t>
      </w:r>
    </w:p>
    <w:p w14:paraId="11E34F22" w14:textId="77777777" w:rsidR="00EC67E7" w:rsidRDefault="00EC67E7" w:rsidP="00EC67E7">
      <w:pPr>
        <w:rPr>
          <w:sz w:val="24"/>
          <w:szCs w:val="24"/>
        </w:rPr>
      </w:pPr>
    </w:p>
    <w:p w14:paraId="585F772F" w14:textId="77777777" w:rsidR="00EC67E7" w:rsidRDefault="00EC67E7" w:rsidP="00EC67E7">
      <w:pPr>
        <w:pBdr>
          <w:top w:val="nil"/>
          <w:left w:val="nil"/>
          <w:bottom w:val="nil"/>
          <w:right w:val="nil"/>
          <w:between w:val="nil"/>
        </w:pBdr>
        <w:spacing w:before="181"/>
        <w:ind w:right="95"/>
        <w:rPr>
          <w:sz w:val="24"/>
          <w:szCs w:val="24"/>
        </w:rPr>
      </w:pPr>
      <w:r>
        <w:rPr>
          <w:sz w:val="24"/>
          <w:szCs w:val="24"/>
        </w:rPr>
        <w:t>If you have any questions about the template, reach out to your Field Reimbursement Specialists. If you have any clinical questions about VYEPTI, reach out to your Lundbeck Account Manager or Medical Science Liaison.</w:t>
      </w:r>
    </w:p>
    <w:p w14:paraId="616C29E1" w14:textId="65D6ABEA" w:rsidR="00EC67E7" w:rsidRDefault="00EC67E7" w:rsidP="00EC67E7">
      <w:pPr>
        <w:pBdr>
          <w:top w:val="nil"/>
          <w:left w:val="nil"/>
          <w:bottom w:val="nil"/>
          <w:right w:val="nil"/>
          <w:between w:val="nil"/>
        </w:pBdr>
        <w:spacing w:before="181"/>
        <w:ind w:right="95"/>
        <w:rPr>
          <w:i/>
          <w:sz w:val="24"/>
          <w:szCs w:val="24"/>
        </w:rPr>
      </w:pPr>
    </w:p>
    <w:p w14:paraId="0D8F747C" w14:textId="74C4891F" w:rsidR="00EC67E7" w:rsidRDefault="00EC67E7" w:rsidP="00E54673">
      <w:pPr>
        <w:tabs>
          <w:tab w:val="left" w:pos="6703"/>
        </w:tabs>
        <w:spacing w:line="256" w:lineRule="auto"/>
        <w:jc w:val="both"/>
        <w:rPr>
          <w:b/>
        </w:rPr>
      </w:pPr>
      <w:r>
        <w:rPr>
          <w:b/>
        </w:rPr>
        <w:t>INDICATION</w:t>
      </w:r>
      <w:r w:rsidR="00E54673">
        <w:rPr>
          <w:b/>
        </w:rPr>
        <w:tab/>
      </w:r>
    </w:p>
    <w:p w14:paraId="5374610F" w14:textId="77777777" w:rsidR="00EC67E7" w:rsidRDefault="00EC67E7" w:rsidP="00EC67E7">
      <w:pPr>
        <w:spacing w:line="256" w:lineRule="auto"/>
        <w:jc w:val="both"/>
      </w:pPr>
      <w:r>
        <w:t xml:space="preserve">VYEPTI® is indicated for the preventive treatment of migraine in adults. </w:t>
      </w:r>
    </w:p>
    <w:p w14:paraId="32BC5624" w14:textId="77777777" w:rsidR="00EC67E7" w:rsidRDefault="00EC67E7" w:rsidP="00EC67E7">
      <w:pPr>
        <w:widowControl/>
      </w:pPr>
      <w:r>
        <w:rPr>
          <w:b/>
        </w:rPr>
        <w:t xml:space="preserve">IMPORTANT SAFETY INFORMATION </w:t>
      </w:r>
    </w:p>
    <w:p w14:paraId="7E4166CF" w14:textId="77777777" w:rsidR="00EC67E7" w:rsidRDefault="00EC67E7" w:rsidP="00EC67E7">
      <w:pPr>
        <w:widowControl/>
      </w:pPr>
      <w:r>
        <w:rPr>
          <w:b/>
        </w:rPr>
        <w:t xml:space="preserve">CONTRAINDICATIONS </w:t>
      </w:r>
    </w:p>
    <w:p w14:paraId="2E121B32" w14:textId="77777777" w:rsidR="00EC67E7" w:rsidRDefault="00EC67E7" w:rsidP="00EC67E7">
      <w:pPr>
        <w:widowControl/>
      </w:pPr>
      <w:r>
        <w:t xml:space="preserve">VYEPTI is contraindicated in patients with serious hypersensitivity to eptinezumab-jjmr or to any of the excipients. Reactions have included anaphylaxis and angioedema. </w:t>
      </w:r>
    </w:p>
    <w:p w14:paraId="07AA1AB8" w14:textId="77777777" w:rsidR="00EC67E7" w:rsidRDefault="00EC67E7" w:rsidP="00EC67E7">
      <w:pPr>
        <w:widowControl/>
      </w:pPr>
      <w:r>
        <w:rPr>
          <w:b/>
        </w:rPr>
        <w:t xml:space="preserve">WARNINGS AND PRECAUTIONS </w:t>
      </w:r>
    </w:p>
    <w:p w14:paraId="23CFB83F" w14:textId="77777777" w:rsidR="00EC67E7" w:rsidRDefault="00EC67E7" w:rsidP="00EC67E7">
      <w:pPr>
        <w:widowControl/>
      </w:pPr>
      <w:r>
        <w:rPr>
          <w:b/>
        </w:rPr>
        <w:t xml:space="preserve">Hypersensitivity Reactions: </w:t>
      </w:r>
      <w:r>
        <w:t xml:space="preserve">Hypersensitivity reactions, including angioedema, urticaria, facial flushing, dyspnea, and rash, have occurred with VYEPTI in clinical trials and in the postmarketing setting. Most hypersensitivity reactions occurred during infusion and were not serious, but often led to discontinuation or required treatment. Serious hypersensitivity reactions may occur. Cases of anaphylaxis have been reported in the postmarketing setting. If a hypersensitivity reaction occurs, consider discontinuing VYEPTI, and institute appropriate therapy. </w:t>
      </w:r>
    </w:p>
    <w:p w14:paraId="72DC1396" w14:textId="77777777" w:rsidR="00EC67E7" w:rsidRDefault="00EC67E7" w:rsidP="00EC67E7">
      <w:pPr>
        <w:widowControl/>
      </w:pPr>
      <w:r>
        <w:rPr>
          <w:b/>
        </w:rPr>
        <w:t xml:space="preserve">ADVERSE REACTIONS </w:t>
      </w:r>
    </w:p>
    <w:p w14:paraId="7FE8655D" w14:textId="77777777" w:rsidR="00EC67E7" w:rsidRDefault="00EC67E7" w:rsidP="00EC67E7">
      <w:pPr>
        <w:widowControl/>
      </w:pPr>
      <w:r>
        <w:t xml:space="preserve">The most common adverse reactions (≥2% and at least 2% or greater than placebo) in the clinical trials for the preventive treatment of migraine were nasopharyngitis and hypersensitivity. </w:t>
      </w:r>
    </w:p>
    <w:p w14:paraId="11859501" w14:textId="77777777" w:rsidR="00EC67E7" w:rsidRDefault="00EC67E7" w:rsidP="00EC67E7">
      <w:pPr>
        <w:tabs>
          <w:tab w:val="left" w:pos="280"/>
        </w:tabs>
        <w:spacing w:before="20"/>
        <w:rPr>
          <w:b/>
        </w:rPr>
      </w:pPr>
      <w:r>
        <w:rPr>
          <w:b/>
        </w:rPr>
        <w:t xml:space="preserve">For more information, please see the accompanying full </w:t>
      </w:r>
      <w:hyperlink r:id="rId7">
        <w:r>
          <w:rPr>
            <w:b/>
            <w:color w:val="1155CC"/>
          </w:rPr>
          <w:t>Prescribing Information</w:t>
        </w:r>
      </w:hyperlink>
      <w:r>
        <w:rPr>
          <w:b/>
        </w:rPr>
        <w:t xml:space="preserve"> and </w:t>
      </w:r>
      <w:hyperlink r:id="rId8">
        <w:r>
          <w:rPr>
            <w:b/>
            <w:color w:val="1155CC"/>
          </w:rPr>
          <w:t>Patient Information</w:t>
        </w:r>
      </w:hyperlink>
      <w:r>
        <w:rPr>
          <w:b/>
        </w:rPr>
        <w:t xml:space="preserve"> or go to </w:t>
      </w:r>
      <w:hyperlink r:id="rId9">
        <w:r>
          <w:rPr>
            <w:b/>
            <w:color w:val="1155CC"/>
          </w:rPr>
          <w:t>vyeptihcp.com</w:t>
        </w:r>
      </w:hyperlink>
      <w:r>
        <w:rPr>
          <w:b/>
        </w:rPr>
        <w:t>.</w:t>
      </w:r>
    </w:p>
    <w:p w14:paraId="4CB1F059" w14:textId="77777777" w:rsidR="00EC67E7" w:rsidRDefault="00EC67E7" w:rsidP="00EC67E7">
      <w:pPr>
        <w:pBdr>
          <w:top w:val="nil"/>
          <w:left w:val="nil"/>
          <w:bottom w:val="nil"/>
          <w:right w:val="nil"/>
          <w:between w:val="nil"/>
        </w:pBdr>
        <w:spacing w:before="181"/>
        <w:ind w:right="95"/>
        <w:rPr>
          <w:i/>
          <w:sz w:val="24"/>
          <w:szCs w:val="24"/>
        </w:rPr>
      </w:pPr>
      <w:r>
        <w:rPr>
          <w:i/>
          <w:color w:val="000000"/>
          <w:sz w:val="24"/>
          <w:szCs w:val="24"/>
        </w:rPr>
        <w:t xml:space="preserve"> </w:t>
      </w:r>
    </w:p>
    <w:p w14:paraId="615E6DE2" w14:textId="77777777" w:rsidR="00EC67E7" w:rsidRDefault="00EC67E7" w:rsidP="00EC67E7">
      <w:pPr>
        <w:spacing w:line="256" w:lineRule="auto"/>
        <w:jc w:val="both"/>
        <w:rPr>
          <w:b/>
        </w:rPr>
      </w:pPr>
      <w:r>
        <w:rPr>
          <w:b/>
        </w:rPr>
        <w:t>© 2023 Lundbeck. All rights reserved.</w:t>
      </w:r>
    </w:p>
    <w:p w14:paraId="7EAA51FC" w14:textId="77777777" w:rsidR="00EC67E7" w:rsidRDefault="00EC67E7" w:rsidP="00EC67E7">
      <w:pPr>
        <w:spacing w:before="20"/>
        <w:rPr>
          <w:i/>
          <w:sz w:val="24"/>
          <w:szCs w:val="24"/>
        </w:rPr>
      </w:pPr>
      <w:r>
        <w:rPr>
          <w:b/>
        </w:rPr>
        <w:t>VYEPTI is a registered trademark of Lundbeck Seattle BioPharmaceuticals, Inc. EPT-B-101302</w:t>
      </w:r>
    </w:p>
    <w:p w14:paraId="409041F2" w14:textId="77777777" w:rsidR="00EC67E7" w:rsidRDefault="00EC67E7" w:rsidP="00EC67E7">
      <w:pPr>
        <w:rPr>
          <w:i/>
          <w:color w:val="000000"/>
          <w:sz w:val="24"/>
          <w:szCs w:val="24"/>
        </w:rPr>
        <w:sectPr w:rsidR="00EC67E7" w:rsidSect="00EC67E7">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pPr>
      <w:r>
        <w:rPr>
          <w:i/>
          <w:color w:val="000000"/>
          <w:sz w:val="24"/>
          <w:szCs w:val="24"/>
        </w:rPr>
        <w:t>The following sample letter is for demonstration purposes only. It provides an example of the type of information that may be required when appealing a denial of coverage from a patient</w:t>
      </w:r>
      <w:r>
        <w:rPr>
          <w:i/>
          <w:sz w:val="24"/>
          <w:szCs w:val="24"/>
        </w:rPr>
        <w:t>’</w:t>
      </w:r>
      <w:r>
        <w:rPr>
          <w:i/>
          <w:color w:val="000000"/>
          <w:sz w:val="24"/>
          <w:szCs w:val="24"/>
        </w:rPr>
        <w:t>s insurance company. Use of this template or the information in this template does not guarantee coverage. It is not intended to be a substitute for, or to influence the independent clinical decision of, the prescribing healthcare professional.</w:t>
      </w:r>
    </w:p>
    <w:p w14:paraId="54E57567" w14:textId="183BC4FA" w:rsidR="00EC67E7" w:rsidRDefault="00EC67E7" w:rsidP="00EC67E7">
      <w:pPr>
        <w:pBdr>
          <w:top w:val="nil"/>
          <w:left w:val="nil"/>
          <w:bottom w:val="nil"/>
          <w:right w:val="nil"/>
          <w:between w:val="nil"/>
        </w:pBdr>
        <w:tabs>
          <w:tab w:val="left" w:pos="4440"/>
        </w:tabs>
        <w:ind w:left="119"/>
        <w:rPr>
          <w:color w:val="000000"/>
          <w:sz w:val="17"/>
          <w:szCs w:val="17"/>
        </w:rPr>
      </w:pPr>
      <w:r>
        <w:rPr>
          <w:color w:val="FF00FF"/>
          <w:sz w:val="17"/>
          <w:szCs w:val="17"/>
        </w:rPr>
        <w:lastRenderedPageBreak/>
        <w:t>[Date]</w:t>
      </w:r>
      <w:r>
        <w:rPr>
          <w:color w:val="FF00FF"/>
          <w:sz w:val="17"/>
          <w:szCs w:val="17"/>
        </w:rPr>
        <w:tab/>
      </w:r>
      <w:r>
        <w:rPr>
          <w:color w:val="000000"/>
          <w:sz w:val="17"/>
          <w:szCs w:val="17"/>
        </w:rPr>
        <w:t>Re:</w:t>
      </w:r>
    </w:p>
    <w:p w14:paraId="01D5C3D1" w14:textId="77777777" w:rsidR="00EC67E7" w:rsidRDefault="00EC67E7" w:rsidP="00EC67E7">
      <w:pPr>
        <w:pBdr>
          <w:top w:val="nil"/>
          <w:left w:val="nil"/>
          <w:bottom w:val="nil"/>
          <w:right w:val="nil"/>
          <w:between w:val="nil"/>
        </w:pBdr>
        <w:tabs>
          <w:tab w:val="left" w:pos="4439"/>
        </w:tabs>
        <w:spacing w:before="1" w:line="268" w:lineRule="auto"/>
        <w:ind w:left="119"/>
        <w:rPr>
          <w:color w:val="000000"/>
          <w:sz w:val="17"/>
          <w:szCs w:val="17"/>
        </w:rPr>
      </w:pPr>
      <w:r>
        <w:rPr>
          <w:color w:val="FF00FF"/>
          <w:sz w:val="17"/>
          <w:szCs w:val="17"/>
        </w:rPr>
        <w:t>[Insurance Company Contact]</w:t>
      </w:r>
      <w:r>
        <w:rPr>
          <w:color w:val="FF00FF"/>
          <w:sz w:val="17"/>
          <w:szCs w:val="17"/>
        </w:rPr>
        <w:tab/>
      </w:r>
      <w:r>
        <w:rPr>
          <w:color w:val="000000"/>
          <w:sz w:val="17"/>
          <w:szCs w:val="17"/>
        </w:rPr>
        <w:t xml:space="preserve">Patient: </w:t>
      </w:r>
      <w:r>
        <w:rPr>
          <w:color w:val="FF00FF"/>
          <w:sz w:val="17"/>
          <w:szCs w:val="17"/>
        </w:rPr>
        <w:t>[Patient’s First and Last Name]</w:t>
      </w:r>
    </w:p>
    <w:p w14:paraId="00C5E2C6" w14:textId="77777777" w:rsidR="00EC67E7" w:rsidRDefault="00EC67E7" w:rsidP="00EC67E7">
      <w:pPr>
        <w:pBdr>
          <w:top w:val="nil"/>
          <w:left w:val="nil"/>
          <w:bottom w:val="nil"/>
          <w:right w:val="nil"/>
          <w:between w:val="nil"/>
        </w:pBdr>
        <w:tabs>
          <w:tab w:val="left" w:pos="4439"/>
        </w:tabs>
        <w:spacing w:line="268" w:lineRule="auto"/>
        <w:ind w:left="119"/>
        <w:rPr>
          <w:color w:val="000000"/>
          <w:sz w:val="17"/>
          <w:szCs w:val="17"/>
        </w:rPr>
      </w:pPr>
      <w:r>
        <w:rPr>
          <w:color w:val="FF00FF"/>
          <w:sz w:val="17"/>
          <w:szCs w:val="17"/>
        </w:rPr>
        <w:t>[Insurance Company Name]</w:t>
      </w:r>
      <w:r>
        <w:rPr>
          <w:color w:val="FF00FF"/>
          <w:sz w:val="17"/>
          <w:szCs w:val="17"/>
        </w:rPr>
        <w:tab/>
      </w:r>
      <w:r>
        <w:rPr>
          <w:color w:val="000000"/>
          <w:sz w:val="17"/>
          <w:szCs w:val="17"/>
        </w:rPr>
        <w:t xml:space="preserve">Subscriber ID #: </w:t>
      </w:r>
      <w:r>
        <w:rPr>
          <w:color w:val="FF00FF"/>
          <w:sz w:val="17"/>
          <w:szCs w:val="17"/>
        </w:rPr>
        <w:t>[Insurance Subscriber ID]</w:t>
      </w:r>
    </w:p>
    <w:p w14:paraId="4299821A" w14:textId="77777777" w:rsidR="00EC67E7" w:rsidRDefault="00EC67E7" w:rsidP="00EC67E7">
      <w:pPr>
        <w:pBdr>
          <w:top w:val="nil"/>
          <w:left w:val="nil"/>
          <w:bottom w:val="nil"/>
          <w:right w:val="nil"/>
          <w:between w:val="nil"/>
        </w:pBdr>
        <w:tabs>
          <w:tab w:val="left" w:pos="4439"/>
        </w:tabs>
        <w:ind w:left="120" w:right="1453"/>
        <w:rPr>
          <w:color w:val="FF00FF"/>
          <w:sz w:val="17"/>
          <w:szCs w:val="17"/>
        </w:rPr>
      </w:pPr>
      <w:r>
        <w:rPr>
          <w:color w:val="FF00FF"/>
          <w:sz w:val="17"/>
          <w:szCs w:val="17"/>
        </w:rPr>
        <w:t>[Insurance Company Address]</w:t>
      </w:r>
      <w:r>
        <w:rPr>
          <w:color w:val="FF00FF"/>
          <w:sz w:val="17"/>
          <w:szCs w:val="17"/>
        </w:rPr>
        <w:tab/>
      </w:r>
      <w:r>
        <w:rPr>
          <w:color w:val="000000"/>
          <w:sz w:val="17"/>
          <w:szCs w:val="17"/>
        </w:rPr>
        <w:t xml:space="preserve">Subscriber Group #: </w:t>
      </w:r>
      <w:r>
        <w:rPr>
          <w:color w:val="FF00FF"/>
          <w:sz w:val="17"/>
          <w:szCs w:val="17"/>
        </w:rPr>
        <w:t>[Insurance Group ID]</w:t>
      </w:r>
    </w:p>
    <w:p w14:paraId="1620E474" w14:textId="77777777" w:rsidR="00EC67E7" w:rsidRDefault="00EC67E7" w:rsidP="00EC67E7">
      <w:pPr>
        <w:pBdr>
          <w:top w:val="nil"/>
          <w:left w:val="nil"/>
          <w:bottom w:val="nil"/>
          <w:right w:val="nil"/>
          <w:between w:val="nil"/>
        </w:pBdr>
        <w:tabs>
          <w:tab w:val="left" w:pos="4439"/>
        </w:tabs>
        <w:ind w:left="120" w:right="1453"/>
        <w:rPr>
          <w:color w:val="000000"/>
          <w:sz w:val="17"/>
          <w:szCs w:val="17"/>
        </w:rPr>
      </w:pPr>
      <w:r>
        <w:rPr>
          <w:color w:val="FF00FF"/>
          <w:sz w:val="17"/>
          <w:szCs w:val="17"/>
        </w:rPr>
        <w:t>[Insurance Company City, State ZIP]</w:t>
      </w:r>
      <w:r>
        <w:rPr>
          <w:color w:val="FF00FF"/>
          <w:sz w:val="17"/>
          <w:szCs w:val="17"/>
        </w:rPr>
        <w:tab/>
      </w:r>
      <w:r>
        <w:rPr>
          <w:color w:val="000000"/>
          <w:sz w:val="17"/>
          <w:szCs w:val="17"/>
        </w:rPr>
        <w:t xml:space="preserve">Date of Birth: </w:t>
      </w:r>
      <w:r>
        <w:rPr>
          <w:color w:val="FF00FF"/>
          <w:sz w:val="17"/>
          <w:szCs w:val="17"/>
        </w:rPr>
        <w:t>[Patient’s Date of Birth]</w:t>
      </w:r>
    </w:p>
    <w:p w14:paraId="06E8E1AE" w14:textId="77777777" w:rsidR="00EC67E7" w:rsidRDefault="00EC67E7" w:rsidP="00EC67E7">
      <w:pPr>
        <w:pBdr>
          <w:top w:val="nil"/>
          <w:left w:val="nil"/>
          <w:bottom w:val="nil"/>
          <w:right w:val="nil"/>
          <w:between w:val="nil"/>
        </w:pBdr>
        <w:rPr>
          <w:color w:val="000000"/>
          <w:sz w:val="17"/>
          <w:szCs w:val="17"/>
        </w:rPr>
      </w:pPr>
    </w:p>
    <w:p w14:paraId="2F2671C8" w14:textId="77777777" w:rsidR="00EC67E7" w:rsidRDefault="00EC67E7" w:rsidP="00EC67E7">
      <w:pPr>
        <w:pBdr>
          <w:top w:val="nil"/>
          <w:left w:val="nil"/>
          <w:bottom w:val="nil"/>
          <w:right w:val="nil"/>
          <w:between w:val="nil"/>
        </w:pBdr>
        <w:rPr>
          <w:color w:val="000000"/>
          <w:sz w:val="17"/>
          <w:szCs w:val="17"/>
        </w:rPr>
      </w:pPr>
      <w:r>
        <w:rPr>
          <w:color w:val="000000"/>
          <w:sz w:val="17"/>
          <w:szCs w:val="17"/>
        </w:rPr>
        <w:t xml:space="preserve">Dear </w:t>
      </w:r>
      <w:r>
        <w:rPr>
          <w:color w:val="FF00FF"/>
          <w:sz w:val="17"/>
          <w:szCs w:val="17"/>
        </w:rPr>
        <w:t>[Insurance Company Contact]</w:t>
      </w:r>
      <w:r>
        <w:rPr>
          <w:color w:val="000000"/>
          <w:sz w:val="17"/>
          <w:szCs w:val="17"/>
        </w:rPr>
        <w:t>:</w:t>
      </w:r>
    </w:p>
    <w:p w14:paraId="70E7C784" w14:textId="77777777" w:rsidR="00EC67E7" w:rsidRDefault="00EC67E7" w:rsidP="00EC67E7">
      <w:pPr>
        <w:pBdr>
          <w:top w:val="nil"/>
          <w:left w:val="nil"/>
          <w:bottom w:val="nil"/>
          <w:right w:val="nil"/>
          <w:between w:val="nil"/>
        </w:pBdr>
        <w:rPr>
          <w:color w:val="000000"/>
          <w:sz w:val="17"/>
          <w:szCs w:val="17"/>
        </w:rPr>
      </w:pPr>
    </w:p>
    <w:p w14:paraId="06DE0632" w14:textId="77777777" w:rsidR="00EC67E7" w:rsidRDefault="00EC67E7" w:rsidP="00EC67E7">
      <w:pPr>
        <w:pBdr>
          <w:top w:val="nil"/>
          <w:left w:val="nil"/>
          <w:bottom w:val="nil"/>
          <w:right w:val="nil"/>
          <w:between w:val="nil"/>
        </w:pBdr>
        <w:spacing w:before="1"/>
        <w:ind w:right="104"/>
        <w:rPr>
          <w:color w:val="000000"/>
          <w:sz w:val="17"/>
          <w:szCs w:val="17"/>
        </w:rPr>
      </w:pPr>
      <w:r>
        <w:rPr>
          <w:color w:val="000000"/>
          <w:sz w:val="17"/>
          <w:szCs w:val="17"/>
        </w:rPr>
        <w:t xml:space="preserve">I am writing on behalf of my patient, </w:t>
      </w:r>
      <w:r>
        <w:rPr>
          <w:color w:val="FF00FF"/>
          <w:sz w:val="17"/>
          <w:szCs w:val="17"/>
        </w:rPr>
        <w:t>[Patient’s First and Last Name]</w:t>
      </w:r>
      <w:r>
        <w:rPr>
          <w:color w:val="000000"/>
          <w:sz w:val="17"/>
          <w:szCs w:val="17"/>
        </w:rPr>
        <w:t xml:space="preserve">, to demonstrate the medical necessity and support for the coverage of VYEPTI® (eptinezumab-jjmr) </w:t>
      </w:r>
      <w:r>
        <w:rPr>
          <w:sz w:val="17"/>
          <w:szCs w:val="17"/>
        </w:rPr>
        <w:t xml:space="preserve">300mg </w:t>
      </w:r>
      <w:r>
        <w:rPr>
          <w:color w:val="000000"/>
          <w:sz w:val="17"/>
          <w:szCs w:val="17"/>
        </w:rPr>
        <w:t xml:space="preserve">for </w:t>
      </w:r>
      <w:r>
        <w:rPr>
          <w:color w:val="FF00FF"/>
          <w:sz w:val="17"/>
          <w:szCs w:val="17"/>
        </w:rPr>
        <w:t>[Indication and ICD-10 code]</w:t>
      </w:r>
      <w:r>
        <w:rPr>
          <w:color w:val="000000"/>
          <w:sz w:val="17"/>
          <w:szCs w:val="17"/>
        </w:rPr>
        <w:t>.</w:t>
      </w:r>
    </w:p>
    <w:p w14:paraId="0EA06D94" w14:textId="77777777" w:rsidR="00EC67E7" w:rsidRDefault="00EC67E7" w:rsidP="00EC67E7">
      <w:pPr>
        <w:pBdr>
          <w:top w:val="nil"/>
          <w:left w:val="nil"/>
          <w:bottom w:val="nil"/>
          <w:right w:val="nil"/>
          <w:between w:val="nil"/>
        </w:pBdr>
        <w:spacing w:before="10"/>
        <w:rPr>
          <w:color w:val="000000"/>
          <w:sz w:val="17"/>
          <w:szCs w:val="17"/>
        </w:rPr>
      </w:pPr>
    </w:p>
    <w:p w14:paraId="3B989032" w14:textId="77777777" w:rsidR="00EC67E7" w:rsidRDefault="00EC67E7" w:rsidP="00EC67E7">
      <w:pPr>
        <w:pBdr>
          <w:top w:val="nil"/>
          <w:left w:val="nil"/>
          <w:bottom w:val="nil"/>
          <w:right w:val="nil"/>
          <w:between w:val="nil"/>
        </w:pBdr>
        <w:ind w:right="104"/>
        <w:rPr>
          <w:color w:val="000000"/>
          <w:sz w:val="17"/>
          <w:szCs w:val="17"/>
        </w:rPr>
      </w:pPr>
      <w:r>
        <w:rPr>
          <w:color w:val="000000"/>
          <w:sz w:val="17"/>
          <w:szCs w:val="17"/>
        </w:rPr>
        <w:t xml:space="preserve">I have read and acknowledge your policy for the responsible management of drugs in this category. This patient will receive treatment </w:t>
      </w:r>
      <w:r>
        <w:rPr>
          <w:sz w:val="17"/>
          <w:szCs w:val="17"/>
        </w:rPr>
        <w:t>for</w:t>
      </w:r>
      <w:r>
        <w:rPr>
          <w:color w:val="000000"/>
          <w:sz w:val="17"/>
          <w:szCs w:val="17"/>
        </w:rPr>
        <w:t xml:space="preserve"> </w:t>
      </w:r>
      <w:r>
        <w:rPr>
          <w:sz w:val="17"/>
          <w:szCs w:val="17"/>
        </w:rPr>
        <w:t>m</w:t>
      </w:r>
      <w:r>
        <w:rPr>
          <w:color w:val="000000"/>
          <w:sz w:val="17"/>
          <w:szCs w:val="17"/>
        </w:rPr>
        <w:t xml:space="preserve">igraine with VYEPTI, which is indicated for preventive treatment of migraine in adults. This letter serves to document that </w:t>
      </w:r>
      <w:r>
        <w:rPr>
          <w:color w:val="FF00FF"/>
          <w:sz w:val="17"/>
          <w:szCs w:val="17"/>
        </w:rPr>
        <w:t xml:space="preserve">[Patient First and Last Name] </w:t>
      </w:r>
      <w:r>
        <w:rPr>
          <w:color w:val="000000"/>
          <w:sz w:val="17"/>
          <w:szCs w:val="17"/>
        </w:rPr>
        <w:t xml:space="preserve">needs VYEPTI and that VYEPTI is medically necessary for </w:t>
      </w:r>
      <w:r>
        <w:rPr>
          <w:color w:val="FF00FF"/>
          <w:sz w:val="17"/>
          <w:szCs w:val="17"/>
        </w:rPr>
        <w:t>[him/her]</w:t>
      </w:r>
      <w:r>
        <w:rPr>
          <w:sz w:val="17"/>
          <w:szCs w:val="17"/>
        </w:rPr>
        <w:t>.</w:t>
      </w:r>
      <w:r>
        <w:rPr>
          <w:color w:val="000000"/>
          <w:sz w:val="17"/>
          <w:szCs w:val="17"/>
        </w:rPr>
        <w:t xml:space="preserve"> On behalf of the patient, I am requesting approval for use and subsequent payment for treatment. </w:t>
      </w:r>
    </w:p>
    <w:p w14:paraId="66E0A84D" w14:textId="77777777" w:rsidR="00EC67E7" w:rsidRDefault="00EC67E7" w:rsidP="00EC67E7">
      <w:pPr>
        <w:pBdr>
          <w:top w:val="nil"/>
          <w:left w:val="nil"/>
          <w:bottom w:val="nil"/>
          <w:right w:val="nil"/>
          <w:between w:val="nil"/>
        </w:pBdr>
        <w:ind w:right="104"/>
        <w:rPr>
          <w:color w:val="000000"/>
          <w:sz w:val="17"/>
          <w:szCs w:val="17"/>
        </w:rPr>
      </w:pPr>
    </w:p>
    <w:p w14:paraId="53A57F84" w14:textId="77777777" w:rsidR="00EC67E7" w:rsidRDefault="00EC67E7" w:rsidP="00EC67E7">
      <w:pPr>
        <w:pBdr>
          <w:top w:val="nil"/>
          <w:left w:val="nil"/>
          <w:bottom w:val="nil"/>
          <w:right w:val="nil"/>
          <w:between w:val="nil"/>
        </w:pBdr>
        <w:ind w:right="104"/>
        <w:rPr>
          <w:color w:val="000000"/>
          <w:sz w:val="17"/>
          <w:szCs w:val="17"/>
        </w:rPr>
      </w:pPr>
      <w:r>
        <w:rPr>
          <w:color w:val="000000"/>
          <w:sz w:val="17"/>
          <w:szCs w:val="17"/>
        </w:rPr>
        <w:t>Below you will find</w:t>
      </w:r>
      <w:r>
        <w:rPr>
          <w:color w:val="FF00FF"/>
          <w:sz w:val="17"/>
          <w:szCs w:val="17"/>
        </w:rPr>
        <w:t xml:space="preserve"> </w:t>
      </w:r>
      <w:r>
        <w:rPr>
          <w:color w:val="000000"/>
          <w:sz w:val="17"/>
          <w:szCs w:val="17"/>
        </w:rPr>
        <w:t xml:space="preserve">a description of the patient’s medical history, including prior therapies, and </w:t>
      </w:r>
      <w:r>
        <w:rPr>
          <w:color w:val="FF00FF"/>
          <w:sz w:val="17"/>
          <w:szCs w:val="17"/>
        </w:rPr>
        <w:t xml:space="preserve">[his/her] </w:t>
      </w:r>
      <w:r>
        <w:rPr>
          <w:color w:val="000000"/>
          <w:sz w:val="17"/>
          <w:szCs w:val="17"/>
        </w:rPr>
        <w:t>current comorbidities and diagnosis.</w:t>
      </w:r>
    </w:p>
    <w:p w14:paraId="0F19DA3A" w14:textId="77777777" w:rsidR="00EC67E7" w:rsidRDefault="00EC67E7" w:rsidP="00EC67E7">
      <w:pPr>
        <w:widowControl/>
        <w:pBdr>
          <w:top w:val="nil"/>
          <w:left w:val="nil"/>
          <w:bottom w:val="nil"/>
          <w:right w:val="nil"/>
          <w:between w:val="nil"/>
        </w:pBdr>
        <w:spacing w:line="288" w:lineRule="auto"/>
        <w:rPr>
          <w:color w:val="000000"/>
          <w:sz w:val="17"/>
          <w:szCs w:val="17"/>
        </w:rPr>
      </w:pPr>
    </w:p>
    <w:p w14:paraId="6DD58C6E" w14:textId="77777777" w:rsidR="00EC67E7" w:rsidRDefault="00EC67E7" w:rsidP="00EC67E7">
      <w:pPr>
        <w:widowControl/>
        <w:pBdr>
          <w:top w:val="nil"/>
          <w:left w:val="nil"/>
          <w:bottom w:val="nil"/>
          <w:right w:val="nil"/>
          <w:between w:val="nil"/>
        </w:pBdr>
        <w:spacing w:line="288" w:lineRule="auto"/>
        <w:rPr>
          <w:b/>
          <w:color w:val="000000"/>
          <w:sz w:val="17"/>
          <w:szCs w:val="17"/>
        </w:rPr>
      </w:pPr>
      <w:r>
        <w:rPr>
          <w:b/>
          <w:color w:val="000000"/>
          <w:sz w:val="17"/>
          <w:szCs w:val="17"/>
        </w:rPr>
        <w:t>Medical History, Diagnosis, and Rationale</w:t>
      </w:r>
    </w:p>
    <w:p w14:paraId="34793BFE" w14:textId="77777777" w:rsidR="00EC67E7" w:rsidRDefault="00EC67E7" w:rsidP="00EC67E7">
      <w:pPr>
        <w:tabs>
          <w:tab w:val="left" w:pos="839"/>
          <w:tab w:val="left" w:pos="840"/>
        </w:tabs>
        <w:rPr>
          <w:color w:val="000000"/>
          <w:sz w:val="17"/>
          <w:szCs w:val="17"/>
        </w:rPr>
      </w:pPr>
      <w:r>
        <w:rPr>
          <w:color w:val="FF00FF"/>
          <w:sz w:val="17"/>
          <w:szCs w:val="17"/>
        </w:rPr>
        <w:t xml:space="preserve">[Patient] </w:t>
      </w:r>
      <w:r>
        <w:rPr>
          <w:color w:val="000000"/>
          <w:sz w:val="17"/>
          <w:szCs w:val="17"/>
        </w:rPr>
        <w:t xml:space="preserve">is </w:t>
      </w:r>
      <w:r>
        <w:rPr>
          <w:color w:val="FF00FF"/>
          <w:sz w:val="17"/>
          <w:szCs w:val="17"/>
        </w:rPr>
        <w:t>[a/an] [age]-</w:t>
      </w:r>
      <w:r>
        <w:rPr>
          <w:color w:val="000000"/>
          <w:sz w:val="17"/>
          <w:szCs w:val="17"/>
        </w:rPr>
        <w:t xml:space="preserve">year-old </w:t>
      </w:r>
      <w:r>
        <w:rPr>
          <w:color w:val="FF00FF"/>
          <w:sz w:val="17"/>
          <w:szCs w:val="17"/>
        </w:rPr>
        <w:t xml:space="preserve">[male/female] </w:t>
      </w:r>
      <w:r>
        <w:rPr>
          <w:color w:val="000000"/>
          <w:sz w:val="17"/>
          <w:szCs w:val="17"/>
        </w:rPr>
        <w:t>diagnosed with</w:t>
      </w:r>
      <w:r>
        <w:rPr>
          <w:color w:val="FF00FF"/>
          <w:sz w:val="17"/>
          <w:szCs w:val="17"/>
        </w:rPr>
        <w:t xml:space="preserve"> [chronic/episodic] </w:t>
      </w:r>
      <w:r>
        <w:rPr>
          <w:sz w:val="17"/>
          <w:szCs w:val="17"/>
        </w:rPr>
        <w:t>migraine disease</w:t>
      </w:r>
      <w:r>
        <w:rPr>
          <w:color w:val="FF00FF"/>
          <w:sz w:val="17"/>
          <w:szCs w:val="17"/>
        </w:rPr>
        <w:t xml:space="preserve"> </w:t>
      </w:r>
      <w:r>
        <w:rPr>
          <w:color w:val="000000"/>
          <w:sz w:val="17"/>
          <w:szCs w:val="17"/>
        </w:rPr>
        <w:t>as evidenced by</w:t>
      </w:r>
      <w:r>
        <w:rPr>
          <w:color w:val="FF00FF"/>
          <w:sz w:val="17"/>
          <w:szCs w:val="17"/>
        </w:rPr>
        <w:t xml:space="preserve"> [# of migraine days per month]</w:t>
      </w:r>
      <w:r>
        <w:rPr>
          <w:sz w:val="17"/>
          <w:szCs w:val="17"/>
        </w:rPr>
        <w:t>.</w:t>
      </w:r>
      <w:r>
        <w:rPr>
          <w:color w:val="FF00FF"/>
          <w:sz w:val="17"/>
          <w:szCs w:val="17"/>
        </w:rPr>
        <w:t xml:space="preserve"> [Patient] </w:t>
      </w:r>
      <w:r>
        <w:rPr>
          <w:color w:val="000000"/>
          <w:sz w:val="17"/>
          <w:szCs w:val="17"/>
        </w:rPr>
        <w:t xml:space="preserve">has been in my care since </w:t>
      </w:r>
      <w:r>
        <w:rPr>
          <w:color w:val="FF00FF"/>
          <w:sz w:val="17"/>
          <w:szCs w:val="17"/>
        </w:rPr>
        <w:t>[date]</w:t>
      </w:r>
      <w:r>
        <w:rPr>
          <w:sz w:val="17"/>
          <w:szCs w:val="17"/>
        </w:rPr>
        <w:t>.</w:t>
      </w:r>
      <w:r>
        <w:rPr>
          <w:color w:val="FF00FF"/>
          <w:sz w:val="17"/>
          <w:szCs w:val="17"/>
        </w:rPr>
        <w:t xml:space="preserve"> </w:t>
      </w:r>
      <w:r>
        <w:rPr>
          <w:color w:val="000000"/>
          <w:sz w:val="17"/>
          <w:szCs w:val="17"/>
        </w:rPr>
        <w:t>As a result of their</w:t>
      </w:r>
      <w:r>
        <w:rPr>
          <w:color w:val="FF00FF"/>
          <w:sz w:val="17"/>
          <w:szCs w:val="17"/>
        </w:rPr>
        <w:t xml:space="preserve"> </w:t>
      </w:r>
      <w:r>
        <w:rPr>
          <w:sz w:val="17"/>
          <w:szCs w:val="17"/>
        </w:rPr>
        <w:t>migraine disease</w:t>
      </w:r>
      <w:r>
        <w:rPr>
          <w:color w:val="000000"/>
          <w:sz w:val="17"/>
          <w:szCs w:val="17"/>
        </w:rPr>
        <w:t xml:space="preserve">, my patient </w:t>
      </w:r>
      <w:r>
        <w:rPr>
          <w:color w:val="FF00FF"/>
          <w:sz w:val="17"/>
          <w:szCs w:val="17"/>
        </w:rPr>
        <w:t>[enter brief description of patient history and any comorbidities]</w:t>
      </w:r>
      <w:r>
        <w:rPr>
          <w:sz w:val="17"/>
          <w:szCs w:val="17"/>
        </w:rPr>
        <w:t>.</w:t>
      </w:r>
      <w:r>
        <w:rPr>
          <w:color w:val="FF00FF"/>
          <w:sz w:val="17"/>
          <w:szCs w:val="17"/>
        </w:rPr>
        <w:t xml:space="preserve"> </w:t>
      </w:r>
      <w:r>
        <w:rPr>
          <w:color w:val="000000"/>
          <w:sz w:val="17"/>
          <w:szCs w:val="17"/>
        </w:rPr>
        <w:t xml:space="preserve">Additionally, </w:t>
      </w:r>
      <w:r>
        <w:rPr>
          <w:color w:val="FF00FF"/>
          <w:sz w:val="17"/>
          <w:szCs w:val="17"/>
        </w:rPr>
        <w:t xml:space="preserve">[Patient Name] </w:t>
      </w:r>
      <w:r>
        <w:rPr>
          <w:color w:val="000000"/>
          <w:sz w:val="17"/>
          <w:szCs w:val="17"/>
        </w:rPr>
        <w:t xml:space="preserve">has tried </w:t>
      </w:r>
      <w:r>
        <w:rPr>
          <w:color w:val="FF00FF"/>
          <w:sz w:val="17"/>
          <w:szCs w:val="17"/>
        </w:rPr>
        <w:t xml:space="preserve">[or attempted] </w:t>
      </w:r>
      <w:r>
        <w:rPr>
          <w:color w:val="000000"/>
          <w:sz w:val="17"/>
          <w:szCs w:val="17"/>
        </w:rPr>
        <w:t>the following previous treatments.</w:t>
      </w:r>
    </w:p>
    <w:p w14:paraId="29FF45A2" w14:textId="77777777" w:rsidR="00EC67E7" w:rsidRDefault="00EC67E7" w:rsidP="00EC67E7">
      <w:pPr>
        <w:tabs>
          <w:tab w:val="left" w:pos="839"/>
          <w:tab w:val="left" w:pos="840"/>
        </w:tabs>
        <w:rPr>
          <w:color w:val="000000"/>
          <w:sz w:val="17"/>
          <w:szCs w:val="17"/>
        </w:rPr>
      </w:pPr>
    </w:p>
    <w:p w14:paraId="411F20D5" w14:textId="77777777" w:rsidR="00EC67E7" w:rsidRDefault="00EC67E7" w:rsidP="00EC67E7">
      <w:pPr>
        <w:tabs>
          <w:tab w:val="left" w:pos="839"/>
          <w:tab w:val="left" w:pos="840"/>
        </w:tabs>
        <w:rPr>
          <w:color w:val="000000"/>
          <w:sz w:val="17"/>
          <w:szCs w:val="17"/>
        </w:rPr>
      </w:pPr>
      <w:r>
        <w:rPr>
          <w:color w:val="000000"/>
          <w:sz w:val="17"/>
          <w:szCs w:val="17"/>
        </w:rPr>
        <w:t>Treatment History</w:t>
      </w:r>
    </w:p>
    <w:p w14:paraId="623B6212" w14:textId="77777777" w:rsidR="00EC67E7" w:rsidRDefault="00EC67E7" w:rsidP="00EC67E7">
      <w:pPr>
        <w:numPr>
          <w:ilvl w:val="0"/>
          <w:numId w:val="2"/>
        </w:numPr>
        <w:pBdr>
          <w:top w:val="nil"/>
          <w:left w:val="nil"/>
          <w:bottom w:val="nil"/>
          <w:right w:val="nil"/>
          <w:between w:val="nil"/>
        </w:pBdr>
        <w:tabs>
          <w:tab w:val="left" w:pos="839"/>
          <w:tab w:val="left" w:pos="840"/>
        </w:tabs>
        <w:rPr>
          <w:color w:val="FF00FF"/>
          <w:sz w:val="17"/>
          <w:szCs w:val="17"/>
        </w:rPr>
      </w:pPr>
      <w:r>
        <w:rPr>
          <w:color w:val="FF00FF"/>
          <w:sz w:val="17"/>
          <w:szCs w:val="17"/>
        </w:rPr>
        <w:t>[Prior Treatment Name]</w:t>
      </w:r>
      <w:r>
        <w:rPr>
          <w:sz w:val="17"/>
          <w:szCs w:val="17"/>
        </w:rPr>
        <w:t>,</w:t>
      </w:r>
      <w:r>
        <w:rPr>
          <w:color w:val="FF00FF"/>
          <w:sz w:val="17"/>
          <w:szCs w:val="17"/>
        </w:rPr>
        <w:t xml:space="preserve"> [treatment start and end date]</w:t>
      </w:r>
      <w:r>
        <w:rPr>
          <w:sz w:val="17"/>
          <w:szCs w:val="17"/>
        </w:rPr>
        <w:t>,</w:t>
      </w:r>
      <w:r>
        <w:rPr>
          <w:color w:val="FF00FF"/>
          <w:sz w:val="17"/>
          <w:szCs w:val="17"/>
        </w:rPr>
        <w:t xml:space="preserve"> </w:t>
      </w:r>
      <w:r>
        <w:rPr>
          <w:color w:val="000000"/>
          <w:sz w:val="17"/>
          <w:szCs w:val="17"/>
        </w:rPr>
        <w:t xml:space="preserve">and </w:t>
      </w:r>
      <w:r>
        <w:rPr>
          <w:color w:val="FF00FF"/>
          <w:sz w:val="17"/>
          <w:szCs w:val="17"/>
        </w:rPr>
        <w:t>[reason for discontinuation]</w:t>
      </w:r>
    </w:p>
    <w:p w14:paraId="1B2E2C73" w14:textId="77777777" w:rsidR="00EC67E7" w:rsidRDefault="00EC67E7" w:rsidP="00EC67E7">
      <w:pPr>
        <w:numPr>
          <w:ilvl w:val="0"/>
          <w:numId w:val="2"/>
        </w:numPr>
        <w:pBdr>
          <w:top w:val="nil"/>
          <w:left w:val="nil"/>
          <w:bottom w:val="nil"/>
          <w:right w:val="nil"/>
          <w:between w:val="nil"/>
        </w:pBdr>
        <w:tabs>
          <w:tab w:val="left" w:pos="839"/>
          <w:tab w:val="left" w:pos="840"/>
        </w:tabs>
        <w:rPr>
          <w:color w:val="FF00FF"/>
          <w:sz w:val="17"/>
          <w:szCs w:val="17"/>
        </w:rPr>
      </w:pPr>
      <w:r>
        <w:rPr>
          <w:color w:val="FF00FF"/>
          <w:sz w:val="17"/>
          <w:szCs w:val="17"/>
        </w:rPr>
        <w:t>List all prior treatments in above format</w:t>
      </w:r>
    </w:p>
    <w:p w14:paraId="556BFE6F" w14:textId="77777777" w:rsidR="00EC67E7" w:rsidRDefault="00EC67E7" w:rsidP="00EC67E7">
      <w:pPr>
        <w:pBdr>
          <w:top w:val="nil"/>
          <w:left w:val="nil"/>
          <w:bottom w:val="nil"/>
          <w:right w:val="nil"/>
          <w:between w:val="nil"/>
        </w:pBdr>
        <w:tabs>
          <w:tab w:val="left" w:pos="839"/>
          <w:tab w:val="left" w:pos="840"/>
        </w:tabs>
        <w:ind w:left="720"/>
        <w:rPr>
          <w:color w:val="FF00FF"/>
          <w:sz w:val="17"/>
          <w:szCs w:val="17"/>
        </w:rPr>
      </w:pPr>
    </w:p>
    <w:p w14:paraId="2B0CCD2E" w14:textId="77777777" w:rsidR="00EC67E7" w:rsidRDefault="00EC67E7" w:rsidP="00EC67E7">
      <w:pPr>
        <w:tabs>
          <w:tab w:val="left" w:pos="839"/>
          <w:tab w:val="left" w:pos="840"/>
        </w:tabs>
        <w:rPr>
          <w:color w:val="FF00FF"/>
          <w:sz w:val="17"/>
          <w:szCs w:val="17"/>
        </w:rPr>
      </w:pPr>
      <w:r>
        <w:rPr>
          <w:color w:val="FF00FF"/>
          <w:sz w:val="17"/>
          <w:szCs w:val="17"/>
        </w:rPr>
        <w:t>[Treatments Attempted]</w:t>
      </w:r>
    </w:p>
    <w:p w14:paraId="252823EC" w14:textId="77777777" w:rsidR="00EC67E7" w:rsidRDefault="00EC67E7" w:rsidP="00EC67E7">
      <w:pPr>
        <w:numPr>
          <w:ilvl w:val="0"/>
          <w:numId w:val="3"/>
        </w:numPr>
        <w:pBdr>
          <w:top w:val="nil"/>
          <w:left w:val="nil"/>
          <w:bottom w:val="nil"/>
          <w:right w:val="nil"/>
          <w:between w:val="nil"/>
        </w:pBdr>
        <w:tabs>
          <w:tab w:val="left" w:pos="839"/>
          <w:tab w:val="left" w:pos="840"/>
        </w:tabs>
        <w:rPr>
          <w:color w:val="FF00FF"/>
          <w:sz w:val="17"/>
          <w:szCs w:val="17"/>
        </w:rPr>
      </w:pPr>
      <w:r>
        <w:rPr>
          <w:color w:val="FF00FF"/>
          <w:sz w:val="17"/>
          <w:szCs w:val="17"/>
        </w:rPr>
        <w:t>[Treatment Name]</w:t>
      </w:r>
      <w:r>
        <w:rPr>
          <w:sz w:val="17"/>
          <w:szCs w:val="17"/>
        </w:rPr>
        <w:t>,</w:t>
      </w:r>
      <w:r>
        <w:rPr>
          <w:color w:val="FF00FF"/>
          <w:sz w:val="17"/>
          <w:szCs w:val="17"/>
        </w:rPr>
        <w:t xml:space="preserve"> [date]</w:t>
      </w:r>
      <w:r>
        <w:rPr>
          <w:sz w:val="17"/>
          <w:szCs w:val="17"/>
        </w:rPr>
        <w:t>,</w:t>
      </w:r>
      <w:r>
        <w:rPr>
          <w:color w:val="FF00FF"/>
          <w:sz w:val="17"/>
          <w:szCs w:val="17"/>
        </w:rPr>
        <w:t xml:space="preserve"> </w:t>
      </w:r>
      <w:r>
        <w:rPr>
          <w:color w:val="000000"/>
          <w:sz w:val="17"/>
          <w:szCs w:val="17"/>
        </w:rPr>
        <w:t xml:space="preserve">and </w:t>
      </w:r>
      <w:r>
        <w:rPr>
          <w:color w:val="FF00FF"/>
          <w:sz w:val="17"/>
          <w:szCs w:val="17"/>
        </w:rPr>
        <w:t>[reason patient was unable to try treatment due to inability to self-inject, contraindications, etc.]</w:t>
      </w:r>
    </w:p>
    <w:p w14:paraId="0FF6CFC8" w14:textId="77777777" w:rsidR="00EC67E7" w:rsidRDefault="00EC67E7" w:rsidP="00EC67E7">
      <w:pPr>
        <w:numPr>
          <w:ilvl w:val="0"/>
          <w:numId w:val="3"/>
        </w:numPr>
        <w:pBdr>
          <w:top w:val="nil"/>
          <w:left w:val="nil"/>
          <w:bottom w:val="nil"/>
          <w:right w:val="nil"/>
          <w:between w:val="nil"/>
        </w:pBdr>
        <w:tabs>
          <w:tab w:val="left" w:pos="839"/>
          <w:tab w:val="left" w:pos="840"/>
        </w:tabs>
        <w:rPr>
          <w:color w:val="FF00FF"/>
          <w:sz w:val="17"/>
          <w:szCs w:val="17"/>
        </w:rPr>
      </w:pPr>
      <w:r>
        <w:rPr>
          <w:color w:val="FF00FF"/>
          <w:sz w:val="17"/>
          <w:szCs w:val="17"/>
        </w:rPr>
        <w:t>List all prior attempts of treatments in above format</w:t>
      </w:r>
    </w:p>
    <w:p w14:paraId="0A8DE43B" w14:textId="77777777" w:rsidR="00EC67E7" w:rsidRDefault="00EC67E7" w:rsidP="00EC67E7">
      <w:pPr>
        <w:tabs>
          <w:tab w:val="left" w:pos="839"/>
          <w:tab w:val="left" w:pos="840"/>
        </w:tabs>
        <w:rPr>
          <w:color w:val="FF0000"/>
          <w:sz w:val="17"/>
          <w:szCs w:val="17"/>
        </w:rPr>
      </w:pPr>
    </w:p>
    <w:p w14:paraId="0079643C" w14:textId="77777777" w:rsidR="00EC67E7" w:rsidRDefault="00EC67E7" w:rsidP="00EC67E7">
      <w:pPr>
        <w:tabs>
          <w:tab w:val="left" w:pos="839"/>
          <w:tab w:val="left" w:pos="840"/>
        </w:tabs>
        <w:rPr>
          <w:color w:val="FF00FF"/>
          <w:sz w:val="17"/>
          <w:szCs w:val="17"/>
        </w:rPr>
      </w:pPr>
      <w:r>
        <w:rPr>
          <w:color w:val="000000"/>
          <w:sz w:val="17"/>
          <w:szCs w:val="17"/>
        </w:rPr>
        <w:t xml:space="preserve">Currently my patient </w:t>
      </w:r>
      <w:r>
        <w:rPr>
          <w:color w:val="FF00FF"/>
          <w:sz w:val="17"/>
          <w:szCs w:val="17"/>
        </w:rPr>
        <w:t>[confirm patient has tolerated VYEPTI with minimal or no side effects]</w:t>
      </w:r>
      <w:r>
        <w:rPr>
          <w:sz w:val="17"/>
          <w:szCs w:val="17"/>
        </w:rPr>
        <w:t>.</w:t>
      </w:r>
      <w:r>
        <w:rPr>
          <w:color w:val="FF00FF"/>
          <w:sz w:val="17"/>
          <w:szCs w:val="17"/>
        </w:rPr>
        <w:t xml:space="preserve"> [Patient Name] </w:t>
      </w:r>
      <w:r>
        <w:rPr>
          <w:sz w:val="17"/>
          <w:szCs w:val="17"/>
        </w:rPr>
        <w:t xml:space="preserve">has had a response to VYEPTI therapy in a decrease in average monthly headache days of at least </w:t>
      </w:r>
      <w:r>
        <w:rPr>
          <w:color w:val="FF00FF"/>
          <w:sz w:val="17"/>
          <w:szCs w:val="17"/>
        </w:rPr>
        <w:t xml:space="preserve">[fill in % of reduction] </w:t>
      </w:r>
      <w:r>
        <w:rPr>
          <w:sz w:val="17"/>
          <w:szCs w:val="17"/>
        </w:rPr>
        <w:t xml:space="preserve">compared to </w:t>
      </w:r>
      <w:r>
        <w:rPr>
          <w:color w:val="FF00FF"/>
          <w:sz w:val="17"/>
          <w:szCs w:val="17"/>
        </w:rPr>
        <w:t xml:space="preserve">[fill in Migraine Disability Assessment (MIDAS) score and/or Migraine Physical Function Impact Diary (MPFID) and/or Headache Impact Test (HIT-6) scores]. </w:t>
      </w:r>
    </w:p>
    <w:p w14:paraId="4C06F922" w14:textId="77777777" w:rsidR="00EC67E7" w:rsidRDefault="00EC67E7" w:rsidP="00EC67E7">
      <w:pPr>
        <w:tabs>
          <w:tab w:val="left" w:pos="839"/>
          <w:tab w:val="left" w:pos="840"/>
        </w:tabs>
        <w:rPr>
          <w:color w:val="FF00FF"/>
          <w:sz w:val="17"/>
          <w:szCs w:val="17"/>
        </w:rPr>
      </w:pPr>
    </w:p>
    <w:p w14:paraId="4290750E" w14:textId="77777777" w:rsidR="00EC67E7" w:rsidRDefault="00EC67E7" w:rsidP="00EC67E7">
      <w:pPr>
        <w:tabs>
          <w:tab w:val="left" w:pos="839"/>
          <w:tab w:val="left" w:pos="840"/>
        </w:tabs>
        <w:rPr>
          <w:color w:val="000000"/>
          <w:sz w:val="17"/>
          <w:szCs w:val="17"/>
        </w:rPr>
      </w:pPr>
      <w:r>
        <w:rPr>
          <w:sz w:val="17"/>
          <w:szCs w:val="17"/>
        </w:rPr>
        <w:t xml:space="preserve">Even though my patient has shown </w:t>
      </w:r>
      <w:r>
        <w:rPr>
          <w:color w:val="FF00FF"/>
          <w:sz w:val="17"/>
          <w:szCs w:val="17"/>
        </w:rPr>
        <w:t xml:space="preserve">[response and reduction in migraine days] </w:t>
      </w:r>
      <w:r>
        <w:rPr>
          <w:sz w:val="17"/>
          <w:szCs w:val="17"/>
        </w:rPr>
        <w:t xml:space="preserve">with </w:t>
      </w:r>
      <w:r>
        <w:rPr>
          <w:color w:val="FF00FF"/>
          <w:sz w:val="17"/>
          <w:szCs w:val="17"/>
        </w:rPr>
        <w:t>[VYEPTI 100mg]</w:t>
      </w:r>
      <w:r>
        <w:rPr>
          <w:sz w:val="17"/>
          <w:szCs w:val="17"/>
        </w:rPr>
        <w:t>,</w:t>
      </w:r>
      <w:r>
        <w:rPr>
          <w:color w:val="FF00FF"/>
          <w:sz w:val="17"/>
          <w:szCs w:val="17"/>
        </w:rPr>
        <w:t xml:space="preserve"> </w:t>
      </w:r>
      <w:r>
        <w:rPr>
          <w:sz w:val="17"/>
          <w:szCs w:val="17"/>
        </w:rPr>
        <w:t xml:space="preserve">it is our hope that we will successfully further reduce or eliminate </w:t>
      </w:r>
      <w:r>
        <w:rPr>
          <w:color w:val="FF00FF"/>
          <w:sz w:val="17"/>
          <w:szCs w:val="17"/>
        </w:rPr>
        <w:t xml:space="preserve">[Patient Name’s] </w:t>
      </w:r>
      <w:r>
        <w:rPr>
          <w:sz w:val="17"/>
          <w:szCs w:val="17"/>
        </w:rPr>
        <w:t>migraine headaches, thus restoring a high level of functioning by utilizing VYEPTI 300mg</w:t>
      </w:r>
      <w:r>
        <w:rPr>
          <w:color w:val="000000"/>
          <w:sz w:val="17"/>
          <w:szCs w:val="17"/>
        </w:rPr>
        <w:t xml:space="preserve">. </w:t>
      </w:r>
    </w:p>
    <w:p w14:paraId="3AE76803" w14:textId="77777777" w:rsidR="00EC67E7" w:rsidRDefault="00EC67E7" w:rsidP="00EC67E7">
      <w:pPr>
        <w:tabs>
          <w:tab w:val="left" w:pos="839"/>
          <w:tab w:val="left" w:pos="840"/>
        </w:tabs>
        <w:rPr>
          <w:color w:val="000000"/>
          <w:sz w:val="17"/>
          <w:szCs w:val="17"/>
        </w:rPr>
      </w:pPr>
    </w:p>
    <w:p w14:paraId="5A8E1155" w14:textId="77777777" w:rsidR="00EC67E7" w:rsidRDefault="00EC67E7" w:rsidP="00EC67E7">
      <w:pPr>
        <w:tabs>
          <w:tab w:val="left" w:pos="839"/>
          <w:tab w:val="left" w:pos="840"/>
        </w:tabs>
        <w:rPr>
          <w:color w:val="FF00FF"/>
          <w:sz w:val="17"/>
          <w:szCs w:val="17"/>
        </w:rPr>
      </w:pPr>
      <w:r>
        <w:rPr>
          <w:color w:val="000000"/>
          <w:sz w:val="17"/>
          <w:szCs w:val="17"/>
        </w:rPr>
        <w:t>A</w:t>
      </w:r>
      <w:r>
        <w:rPr>
          <w:sz w:val="17"/>
          <w:szCs w:val="17"/>
        </w:rPr>
        <w:t xml:space="preserve">dditionally, </w:t>
      </w:r>
      <w:r>
        <w:rPr>
          <w:color w:val="FF00FF"/>
          <w:sz w:val="17"/>
          <w:szCs w:val="17"/>
        </w:rPr>
        <w:t xml:space="preserve">[Patient] </w:t>
      </w:r>
      <w:r>
        <w:rPr>
          <w:sz w:val="17"/>
          <w:szCs w:val="17"/>
        </w:rPr>
        <w:t xml:space="preserve">could be at risk of migraine treatment disruption if unable to </w:t>
      </w:r>
      <w:r>
        <w:rPr>
          <w:color w:val="FF00FF"/>
          <w:sz w:val="17"/>
          <w:szCs w:val="17"/>
        </w:rPr>
        <w:t>[increase the dosage of VYEPTI] [If applicable, insert potential risks of disruption to therapy: increased migraine days, additional provider visits, other migraine-related medical care etc]</w:t>
      </w:r>
      <w:r>
        <w:rPr>
          <w:sz w:val="17"/>
          <w:szCs w:val="17"/>
        </w:rPr>
        <w:t>.</w:t>
      </w:r>
      <w:r>
        <w:rPr>
          <w:color w:val="FF00FF"/>
          <w:sz w:val="17"/>
          <w:szCs w:val="17"/>
        </w:rPr>
        <w:t xml:space="preserve"> </w:t>
      </w:r>
    </w:p>
    <w:p w14:paraId="173BC658" w14:textId="77777777" w:rsidR="00EC67E7" w:rsidRDefault="00EC67E7" w:rsidP="00EC67E7">
      <w:pPr>
        <w:pBdr>
          <w:top w:val="nil"/>
          <w:left w:val="nil"/>
          <w:bottom w:val="nil"/>
          <w:right w:val="nil"/>
          <w:between w:val="nil"/>
        </w:pBdr>
        <w:spacing w:before="180"/>
        <w:rPr>
          <w:color w:val="000000"/>
          <w:sz w:val="17"/>
          <w:szCs w:val="17"/>
        </w:rPr>
      </w:pPr>
      <w:bookmarkStart w:id="0" w:name="_heading=h.30j0zll" w:colFirst="0" w:colLast="0"/>
      <w:bookmarkEnd w:id="0"/>
      <w:r>
        <w:rPr>
          <w:color w:val="000000"/>
          <w:sz w:val="17"/>
          <w:szCs w:val="17"/>
        </w:rPr>
        <w:t xml:space="preserve">Based on the above facts, I am confident you will agree that VYEPTI is indicated and medically necessary for this patient. The plan of treatment is to </w:t>
      </w:r>
      <w:r>
        <w:rPr>
          <w:color w:val="FF00FF"/>
          <w:sz w:val="17"/>
          <w:szCs w:val="17"/>
        </w:rPr>
        <w:t xml:space="preserve">[start/increase the dosage of] </w:t>
      </w:r>
      <w:r>
        <w:rPr>
          <w:color w:val="000000"/>
          <w:sz w:val="17"/>
          <w:szCs w:val="17"/>
        </w:rPr>
        <w:t>the patient on</w:t>
      </w:r>
      <w:r>
        <w:rPr>
          <w:sz w:val="17"/>
          <w:szCs w:val="17"/>
        </w:rPr>
        <w:t xml:space="preserve"> VYEPTI 300mg</w:t>
      </w:r>
      <w:r>
        <w:rPr>
          <w:color w:val="000000"/>
          <w:sz w:val="17"/>
          <w:szCs w:val="17"/>
        </w:rPr>
        <w:t>. Administration of VYEPTI is planned on</w:t>
      </w:r>
      <w:r>
        <w:rPr>
          <w:color w:val="FF00FF"/>
          <w:sz w:val="17"/>
          <w:szCs w:val="17"/>
        </w:rPr>
        <w:t xml:space="preserve"> [DATE]</w:t>
      </w:r>
      <w:r>
        <w:rPr>
          <w:color w:val="000000"/>
          <w:sz w:val="17"/>
          <w:szCs w:val="17"/>
        </w:rPr>
        <w:t xml:space="preserve"> and will be continued approximately every 3 </w:t>
      </w:r>
      <w:r>
        <w:rPr>
          <w:sz w:val="17"/>
          <w:szCs w:val="17"/>
        </w:rPr>
        <w:t>m</w:t>
      </w:r>
      <w:r>
        <w:rPr>
          <w:color w:val="000000"/>
          <w:sz w:val="17"/>
          <w:szCs w:val="17"/>
        </w:rPr>
        <w:t>onths.</w:t>
      </w:r>
    </w:p>
    <w:p w14:paraId="6B34D6FD" w14:textId="77777777" w:rsidR="00EC67E7" w:rsidRDefault="00EC67E7" w:rsidP="00EC67E7">
      <w:pPr>
        <w:pBdr>
          <w:top w:val="nil"/>
          <w:left w:val="nil"/>
          <w:bottom w:val="nil"/>
          <w:right w:val="nil"/>
          <w:between w:val="nil"/>
        </w:pBdr>
        <w:spacing w:before="181"/>
        <w:ind w:right="104"/>
        <w:rPr>
          <w:color w:val="000000"/>
          <w:sz w:val="17"/>
          <w:szCs w:val="17"/>
        </w:rPr>
      </w:pPr>
      <w:r>
        <w:rPr>
          <w:color w:val="000000"/>
          <w:sz w:val="17"/>
          <w:szCs w:val="17"/>
        </w:rPr>
        <w:t xml:space="preserve">Please contact my office by calling </w:t>
      </w:r>
      <w:r>
        <w:rPr>
          <w:color w:val="FF00FF"/>
          <w:sz w:val="17"/>
          <w:szCs w:val="17"/>
        </w:rPr>
        <w:t xml:space="preserve">[Practice Phone Number] </w:t>
      </w:r>
      <w:r>
        <w:rPr>
          <w:color w:val="000000"/>
          <w:sz w:val="17"/>
          <w:szCs w:val="17"/>
        </w:rPr>
        <w:t>for any additional information you may require in support of coverage for VYEPTI. I look forward to your timely approval.</w:t>
      </w:r>
    </w:p>
    <w:p w14:paraId="65288A84" w14:textId="77777777" w:rsidR="00EC67E7" w:rsidRDefault="00EC67E7" w:rsidP="00EC67E7">
      <w:pPr>
        <w:pStyle w:val="Heading2"/>
        <w:spacing w:before="157"/>
        <w:ind w:left="0"/>
        <w:rPr>
          <w:color w:val="FF00FF"/>
          <w:sz w:val="17"/>
          <w:szCs w:val="17"/>
        </w:rPr>
      </w:pPr>
      <w:r>
        <w:rPr>
          <w:b w:val="0"/>
          <w:color w:val="000000"/>
          <w:sz w:val="17"/>
          <w:szCs w:val="17"/>
        </w:rPr>
        <w:t>Sincerely,</w:t>
      </w:r>
    </w:p>
    <w:p w14:paraId="5F56C54A" w14:textId="77777777" w:rsidR="00EC67E7" w:rsidRDefault="00EC67E7" w:rsidP="00EC67E7">
      <w:pPr>
        <w:rPr>
          <w:sz w:val="17"/>
          <w:szCs w:val="17"/>
        </w:rPr>
      </w:pPr>
    </w:p>
    <w:p w14:paraId="1EDB91D5" w14:textId="77777777" w:rsidR="00EC67E7" w:rsidRDefault="00EC67E7" w:rsidP="00EC67E7">
      <w:pPr>
        <w:pBdr>
          <w:top w:val="nil"/>
          <w:left w:val="nil"/>
          <w:bottom w:val="nil"/>
          <w:right w:val="nil"/>
          <w:between w:val="nil"/>
        </w:pBdr>
        <w:tabs>
          <w:tab w:val="left" w:pos="5159"/>
        </w:tabs>
        <w:rPr>
          <w:color w:val="FF00FF"/>
          <w:sz w:val="17"/>
          <w:szCs w:val="17"/>
        </w:rPr>
      </w:pPr>
      <w:r>
        <w:rPr>
          <w:color w:val="FF00FF"/>
          <w:sz w:val="17"/>
          <w:szCs w:val="17"/>
        </w:rPr>
        <w:t>[Physician’s Signature]</w:t>
      </w:r>
      <w:r>
        <w:rPr>
          <w:color w:val="FF00FF"/>
          <w:sz w:val="17"/>
          <w:szCs w:val="17"/>
        </w:rPr>
        <w:tab/>
        <w:t>[Physician’s Name]</w:t>
      </w:r>
      <w:r>
        <w:rPr>
          <w:color w:val="FF00FF"/>
          <w:sz w:val="17"/>
          <w:szCs w:val="17"/>
        </w:rPr>
        <w:tab/>
      </w:r>
    </w:p>
    <w:p w14:paraId="68766C12" w14:textId="77777777" w:rsidR="00EC67E7" w:rsidRDefault="00EC67E7" w:rsidP="00EC67E7">
      <w:pPr>
        <w:pBdr>
          <w:top w:val="nil"/>
          <w:left w:val="nil"/>
          <w:bottom w:val="nil"/>
          <w:right w:val="nil"/>
          <w:between w:val="nil"/>
        </w:pBdr>
        <w:tabs>
          <w:tab w:val="left" w:pos="5159"/>
        </w:tabs>
        <w:rPr>
          <w:color w:val="FF00FF"/>
          <w:sz w:val="17"/>
          <w:szCs w:val="17"/>
        </w:rPr>
      </w:pPr>
      <w:r>
        <w:rPr>
          <w:color w:val="FF00FF"/>
          <w:sz w:val="17"/>
          <w:szCs w:val="17"/>
        </w:rPr>
        <w:t xml:space="preserve">[Provider Identification Number] </w:t>
      </w:r>
      <w:r>
        <w:rPr>
          <w:color w:val="FF00FF"/>
          <w:sz w:val="17"/>
          <w:szCs w:val="17"/>
        </w:rPr>
        <w:tab/>
        <w:t>[Name of Practice]</w:t>
      </w:r>
    </w:p>
    <w:p w14:paraId="221CEA9F" w14:textId="77777777" w:rsidR="00EC67E7" w:rsidRDefault="00EC67E7" w:rsidP="00EC67E7">
      <w:pPr>
        <w:pBdr>
          <w:top w:val="nil"/>
          <w:left w:val="nil"/>
          <w:bottom w:val="nil"/>
          <w:right w:val="nil"/>
          <w:between w:val="nil"/>
        </w:pBdr>
        <w:tabs>
          <w:tab w:val="left" w:pos="5159"/>
        </w:tabs>
        <w:rPr>
          <w:color w:val="000000"/>
          <w:sz w:val="17"/>
          <w:szCs w:val="17"/>
        </w:rPr>
      </w:pPr>
      <w:r>
        <w:rPr>
          <w:color w:val="FF00FF"/>
          <w:sz w:val="17"/>
          <w:szCs w:val="17"/>
        </w:rPr>
        <w:t>[Phone Number]</w:t>
      </w:r>
    </w:p>
    <w:p w14:paraId="4A61A7CF" w14:textId="77777777" w:rsidR="00EC67E7" w:rsidRDefault="00EC67E7" w:rsidP="00EC67E7">
      <w:pPr>
        <w:pBdr>
          <w:top w:val="nil"/>
          <w:left w:val="nil"/>
          <w:bottom w:val="nil"/>
          <w:right w:val="nil"/>
          <w:between w:val="nil"/>
        </w:pBdr>
        <w:rPr>
          <w:color w:val="000000"/>
          <w:sz w:val="17"/>
          <w:szCs w:val="17"/>
        </w:rPr>
      </w:pPr>
    </w:p>
    <w:p w14:paraId="1F6F8612" w14:textId="77777777" w:rsidR="00EC67E7" w:rsidRDefault="00EC67E7" w:rsidP="00EC67E7">
      <w:pPr>
        <w:pBdr>
          <w:top w:val="nil"/>
          <w:left w:val="nil"/>
          <w:bottom w:val="nil"/>
          <w:right w:val="nil"/>
          <w:between w:val="nil"/>
        </w:pBdr>
        <w:rPr>
          <w:color w:val="FF00FF"/>
          <w:sz w:val="17"/>
          <w:szCs w:val="17"/>
        </w:rPr>
      </w:pPr>
      <w:r>
        <w:rPr>
          <w:b/>
          <w:color w:val="000000"/>
          <w:sz w:val="17"/>
          <w:szCs w:val="17"/>
        </w:rPr>
        <w:t>Enclosures:</w:t>
      </w:r>
      <w:r>
        <w:rPr>
          <w:color w:val="000000"/>
          <w:sz w:val="17"/>
          <w:szCs w:val="17"/>
        </w:rPr>
        <w:t xml:space="preserve"> </w:t>
      </w:r>
      <w:r>
        <w:rPr>
          <w:color w:val="FF00FF"/>
          <w:sz w:val="17"/>
          <w:szCs w:val="17"/>
        </w:rPr>
        <w:t>(attach as appropriate)</w:t>
      </w:r>
    </w:p>
    <w:tbl>
      <w:tblPr>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400"/>
        <w:gridCol w:w="5400"/>
      </w:tblGrid>
      <w:tr w:rsidR="00EC67E7" w14:paraId="11C5DB0B" w14:textId="77777777" w:rsidTr="00FD1A0D">
        <w:tc>
          <w:tcPr>
            <w:tcW w:w="5400" w:type="dxa"/>
            <w:shd w:val="clear" w:color="auto" w:fill="auto"/>
            <w:tcMar>
              <w:top w:w="100" w:type="dxa"/>
              <w:left w:w="100" w:type="dxa"/>
              <w:bottom w:w="100" w:type="dxa"/>
              <w:right w:w="100" w:type="dxa"/>
            </w:tcMar>
          </w:tcPr>
          <w:p w14:paraId="14771A29" w14:textId="77777777" w:rsidR="00EC67E7" w:rsidRDefault="00EC67E7" w:rsidP="00EC67E7">
            <w:pPr>
              <w:numPr>
                <w:ilvl w:val="0"/>
                <w:numId w:val="1"/>
              </w:numPr>
              <w:tabs>
                <w:tab w:val="left" w:pos="280"/>
              </w:tabs>
              <w:spacing w:before="20"/>
              <w:rPr>
                <w:color w:val="FF00FF"/>
                <w:sz w:val="17"/>
                <w:szCs w:val="17"/>
              </w:rPr>
            </w:pPr>
            <w:r>
              <w:rPr>
                <w:color w:val="FF00FF"/>
                <w:sz w:val="17"/>
                <w:szCs w:val="17"/>
              </w:rPr>
              <w:t>Any original Letter of Medical Necessity</w:t>
            </w:r>
          </w:p>
          <w:p w14:paraId="38336485" w14:textId="77777777" w:rsidR="00EC67E7" w:rsidRDefault="00EC67E7" w:rsidP="00EC67E7">
            <w:pPr>
              <w:numPr>
                <w:ilvl w:val="0"/>
                <w:numId w:val="1"/>
              </w:numPr>
              <w:tabs>
                <w:tab w:val="left" w:pos="281"/>
              </w:tabs>
              <w:spacing w:before="39"/>
              <w:rPr>
                <w:color w:val="FF00FF"/>
                <w:sz w:val="17"/>
                <w:szCs w:val="17"/>
              </w:rPr>
            </w:pPr>
            <w:r>
              <w:rPr>
                <w:color w:val="FF00FF"/>
                <w:sz w:val="17"/>
                <w:szCs w:val="17"/>
              </w:rPr>
              <w:t>VYEPTI Prescribing Information</w:t>
            </w:r>
          </w:p>
          <w:p w14:paraId="26A4230D" w14:textId="77777777" w:rsidR="00EC67E7" w:rsidRDefault="00EC67E7" w:rsidP="00EC67E7">
            <w:pPr>
              <w:numPr>
                <w:ilvl w:val="0"/>
                <w:numId w:val="1"/>
              </w:numPr>
              <w:tabs>
                <w:tab w:val="left" w:pos="281"/>
              </w:tabs>
              <w:spacing w:before="22"/>
              <w:rPr>
                <w:color w:val="FF00FF"/>
                <w:sz w:val="17"/>
                <w:szCs w:val="17"/>
              </w:rPr>
            </w:pPr>
            <w:r>
              <w:rPr>
                <w:color w:val="FF00FF"/>
                <w:sz w:val="17"/>
                <w:szCs w:val="17"/>
              </w:rPr>
              <w:t>Patient clinical/diagnostic notes and relevant lab reports</w:t>
            </w:r>
          </w:p>
          <w:p w14:paraId="01E1704F" w14:textId="77777777" w:rsidR="00EC67E7" w:rsidRDefault="00EC67E7" w:rsidP="00EC67E7">
            <w:pPr>
              <w:numPr>
                <w:ilvl w:val="0"/>
                <w:numId w:val="1"/>
              </w:numPr>
              <w:spacing w:before="20" w:line="259" w:lineRule="auto"/>
              <w:rPr>
                <w:color w:val="FF00FF"/>
                <w:sz w:val="17"/>
                <w:szCs w:val="17"/>
              </w:rPr>
            </w:pPr>
            <w:r>
              <w:rPr>
                <w:color w:val="FF00FF"/>
                <w:sz w:val="17"/>
                <w:szCs w:val="17"/>
              </w:rPr>
              <w:t>Published clinical references supporting your letter</w:t>
            </w:r>
          </w:p>
        </w:tc>
        <w:tc>
          <w:tcPr>
            <w:tcW w:w="5400" w:type="dxa"/>
            <w:shd w:val="clear" w:color="auto" w:fill="auto"/>
            <w:tcMar>
              <w:top w:w="100" w:type="dxa"/>
              <w:left w:w="100" w:type="dxa"/>
              <w:bottom w:w="100" w:type="dxa"/>
              <w:right w:w="100" w:type="dxa"/>
            </w:tcMar>
          </w:tcPr>
          <w:p w14:paraId="409E3E39" w14:textId="77777777" w:rsidR="00EC67E7" w:rsidRDefault="00EC67E7" w:rsidP="00EC67E7">
            <w:pPr>
              <w:numPr>
                <w:ilvl w:val="0"/>
                <w:numId w:val="1"/>
              </w:numPr>
              <w:spacing w:before="20" w:line="259" w:lineRule="auto"/>
              <w:rPr>
                <w:color w:val="FF00FF"/>
                <w:sz w:val="17"/>
                <w:szCs w:val="17"/>
              </w:rPr>
            </w:pPr>
            <w:r>
              <w:rPr>
                <w:color w:val="FF00FF"/>
                <w:sz w:val="17"/>
                <w:szCs w:val="17"/>
              </w:rPr>
              <w:t>Copies of any migraine assessment or documentation of mean monthly migraine reduction results, e.g., Migraine Disability Assessment (MIDAS), Migraine Physical Function Impact Diary (MPFID), and/or Headache Impact Test (HIT-6)</w:t>
            </w:r>
          </w:p>
        </w:tc>
      </w:tr>
    </w:tbl>
    <w:p w14:paraId="340693A4" w14:textId="77777777" w:rsidR="00EC67E7" w:rsidRDefault="00EC67E7" w:rsidP="00EC67E7">
      <w:pPr>
        <w:sectPr w:rsidR="00EC67E7" w:rsidSect="00E54673">
          <w:pgSz w:w="12240" w:h="15840"/>
          <w:pgMar w:top="720" w:right="720" w:bottom="720" w:left="720" w:header="720" w:footer="720" w:gutter="0"/>
          <w:cols w:space="720"/>
          <w:formProt w:val="0"/>
          <w:docGrid w:linePitch="360"/>
        </w:sectPr>
      </w:pPr>
    </w:p>
    <w:p w14:paraId="3A9D8FC6" w14:textId="77777777" w:rsidR="00EC67E7" w:rsidRDefault="00EC67E7" w:rsidP="00EC67E7">
      <w:pPr>
        <w:pBdr>
          <w:top w:val="nil"/>
          <w:left w:val="nil"/>
          <w:bottom w:val="nil"/>
          <w:right w:val="nil"/>
          <w:between w:val="nil"/>
        </w:pBdr>
        <w:spacing w:before="181"/>
        <w:ind w:right="95"/>
        <w:jc w:val="both"/>
        <w:rPr>
          <w:i/>
          <w:color w:val="000000"/>
        </w:rPr>
      </w:pPr>
      <w:r>
        <w:rPr>
          <w:sz w:val="18"/>
          <w:szCs w:val="18"/>
          <w:u w:val="single"/>
        </w:rPr>
        <w:lastRenderedPageBreak/>
        <w:t>Clinical References:</w:t>
      </w:r>
    </w:p>
    <w:p w14:paraId="49A16570" w14:textId="77777777" w:rsidR="00EC67E7" w:rsidRDefault="00EC67E7" w:rsidP="00EC67E7">
      <w:pPr>
        <w:spacing w:line="259" w:lineRule="auto"/>
        <w:jc w:val="both"/>
        <w:rPr>
          <w:b/>
          <w:sz w:val="18"/>
          <w:szCs w:val="18"/>
          <w:u w:val="single"/>
        </w:rPr>
      </w:pPr>
      <w:r>
        <w:rPr>
          <w:b/>
          <w:sz w:val="18"/>
          <w:szCs w:val="18"/>
          <w:u w:val="single"/>
        </w:rPr>
        <w:t>VYEPTI as treatment in Chronic and Episodic Migraine</w:t>
      </w:r>
    </w:p>
    <w:p w14:paraId="4FBD509B" w14:textId="77777777" w:rsidR="00EC67E7" w:rsidRDefault="00000000" w:rsidP="00EC67E7">
      <w:pPr>
        <w:widowControl/>
        <w:numPr>
          <w:ilvl w:val="0"/>
          <w:numId w:val="13"/>
        </w:numPr>
        <w:spacing w:after="160" w:line="259" w:lineRule="auto"/>
        <w:jc w:val="both"/>
        <w:rPr>
          <w:sz w:val="18"/>
          <w:szCs w:val="18"/>
        </w:rPr>
      </w:pPr>
      <w:hyperlink r:id="rId16">
        <w:r w:rsidR="00EC67E7">
          <w:rPr>
            <w:color w:val="1155CC"/>
            <w:sz w:val="18"/>
            <w:szCs w:val="18"/>
            <w:u w:val="single"/>
          </w:rPr>
          <w:t>VYEPTI (eptinezumab-jjmr) [package insert]. Bothell, WA: Lundbeck Seattle BioPharmaceuticals, Inc</w:t>
        </w:r>
      </w:hyperlink>
      <w:hyperlink r:id="rId17">
        <w:r w:rsidR="00EC67E7">
          <w:rPr>
            <w:color w:val="1155CC"/>
            <w:sz w:val="18"/>
            <w:szCs w:val="18"/>
          </w:rPr>
          <w:t>.</w:t>
        </w:r>
      </w:hyperlink>
    </w:p>
    <w:p w14:paraId="2CCA18C3" w14:textId="77777777" w:rsidR="00EC67E7" w:rsidRDefault="00EC67E7" w:rsidP="00EC67E7">
      <w:pPr>
        <w:spacing w:line="259" w:lineRule="auto"/>
        <w:jc w:val="both"/>
        <w:rPr>
          <w:b/>
          <w:sz w:val="18"/>
          <w:szCs w:val="18"/>
          <w:u w:val="single"/>
        </w:rPr>
      </w:pPr>
      <w:r>
        <w:rPr>
          <w:b/>
          <w:sz w:val="18"/>
          <w:szCs w:val="18"/>
          <w:u w:val="single"/>
        </w:rPr>
        <w:t>Increasing VYEPTI dosage: reference on use of VYEPTI as treatment in Chronic or Episodic Migraine</w:t>
      </w:r>
    </w:p>
    <w:p w14:paraId="6024AB22" w14:textId="77777777" w:rsidR="00EC67E7" w:rsidRDefault="00000000" w:rsidP="00EC67E7">
      <w:pPr>
        <w:numPr>
          <w:ilvl w:val="0"/>
          <w:numId w:val="4"/>
        </w:numPr>
        <w:spacing w:line="256" w:lineRule="auto"/>
        <w:jc w:val="both"/>
        <w:rPr>
          <w:sz w:val="18"/>
          <w:szCs w:val="18"/>
        </w:rPr>
      </w:pPr>
      <w:hyperlink r:id="rId18">
        <w:r w:rsidR="00EC67E7">
          <w:rPr>
            <w:color w:val="1155CC"/>
            <w:sz w:val="18"/>
            <w:szCs w:val="18"/>
            <w:u w:val="single"/>
          </w:rPr>
          <w:t xml:space="preserve">Chen H, Luo W. Efficacy and safety of eptinezumab 300mg versus 100mg for migraine patients: a meta-analysis of randomized controlled studies. </w:t>
        </w:r>
      </w:hyperlink>
      <w:hyperlink r:id="rId19">
        <w:r w:rsidR="00EC67E7">
          <w:rPr>
            <w:i/>
            <w:color w:val="1155CC"/>
            <w:sz w:val="18"/>
            <w:szCs w:val="18"/>
            <w:u w:val="single"/>
          </w:rPr>
          <w:t>Int J Neurosci.</w:t>
        </w:r>
      </w:hyperlink>
      <w:hyperlink r:id="rId20">
        <w:r w:rsidR="00EC67E7">
          <w:rPr>
            <w:color w:val="1155CC"/>
            <w:sz w:val="18"/>
            <w:szCs w:val="18"/>
            <w:u w:val="single"/>
          </w:rPr>
          <w:t xml:space="preserve"> 2022:1-6</w:t>
        </w:r>
      </w:hyperlink>
      <w:hyperlink r:id="rId21">
        <w:r w:rsidR="00EC67E7">
          <w:rPr>
            <w:color w:val="1155CC"/>
            <w:sz w:val="18"/>
            <w:szCs w:val="18"/>
          </w:rPr>
          <w:t>.</w:t>
        </w:r>
      </w:hyperlink>
    </w:p>
    <w:p w14:paraId="79C61D53" w14:textId="77777777" w:rsidR="00EC67E7" w:rsidRDefault="00EC67E7" w:rsidP="00EC67E7">
      <w:pPr>
        <w:spacing w:line="256" w:lineRule="auto"/>
        <w:jc w:val="both"/>
        <w:rPr>
          <w:sz w:val="20"/>
          <w:szCs w:val="20"/>
        </w:rPr>
      </w:pPr>
    </w:p>
    <w:p w14:paraId="40600186" w14:textId="77777777" w:rsidR="00EC67E7" w:rsidRDefault="00EC67E7" w:rsidP="00EC67E7">
      <w:pPr>
        <w:spacing w:line="256" w:lineRule="auto"/>
        <w:jc w:val="both"/>
        <w:rPr>
          <w:sz w:val="18"/>
          <w:szCs w:val="18"/>
        </w:rPr>
      </w:pPr>
      <w:r>
        <w:rPr>
          <w:sz w:val="18"/>
          <w:szCs w:val="18"/>
        </w:rPr>
        <w:t xml:space="preserve">Chronic: </w:t>
      </w:r>
    </w:p>
    <w:p w14:paraId="3E273BA2" w14:textId="77777777" w:rsidR="00EC67E7" w:rsidRDefault="00000000" w:rsidP="00EC67E7">
      <w:pPr>
        <w:numPr>
          <w:ilvl w:val="0"/>
          <w:numId w:val="7"/>
        </w:numPr>
        <w:spacing w:line="256" w:lineRule="auto"/>
        <w:jc w:val="both"/>
        <w:rPr>
          <w:sz w:val="18"/>
          <w:szCs w:val="18"/>
        </w:rPr>
      </w:pPr>
      <w:hyperlink r:id="rId22">
        <w:r w:rsidR="00EC67E7">
          <w:rPr>
            <w:color w:val="1155CC"/>
            <w:sz w:val="18"/>
            <w:szCs w:val="18"/>
            <w:u w:val="single"/>
          </w:rPr>
          <w:t xml:space="preserve">Kudrow D, Cady RK, Allan B, et al. Long-term safety and tolerability of eptinezumab in patients with chronic migraine: a 2-year, open-label, phase 3 trial. </w:t>
        </w:r>
      </w:hyperlink>
      <w:hyperlink r:id="rId23">
        <w:r w:rsidR="00EC67E7">
          <w:rPr>
            <w:i/>
            <w:color w:val="1155CC"/>
            <w:sz w:val="18"/>
            <w:szCs w:val="18"/>
            <w:u w:val="single"/>
          </w:rPr>
          <w:t xml:space="preserve">BMC Neurol. </w:t>
        </w:r>
      </w:hyperlink>
      <w:hyperlink r:id="rId24">
        <w:r w:rsidR="00EC67E7">
          <w:rPr>
            <w:color w:val="1155CC"/>
            <w:sz w:val="18"/>
            <w:szCs w:val="18"/>
            <w:u w:val="single"/>
          </w:rPr>
          <w:t>2021;21(1):126</w:t>
        </w:r>
      </w:hyperlink>
      <w:hyperlink r:id="rId25">
        <w:r w:rsidR="00EC67E7">
          <w:rPr>
            <w:color w:val="1155CC"/>
            <w:sz w:val="18"/>
            <w:szCs w:val="18"/>
          </w:rPr>
          <w:t>.</w:t>
        </w:r>
      </w:hyperlink>
    </w:p>
    <w:p w14:paraId="02279A69" w14:textId="77777777" w:rsidR="00EC67E7" w:rsidRDefault="00000000" w:rsidP="00EC67E7">
      <w:pPr>
        <w:numPr>
          <w:ilvl w:val="0"/>
          <w:numId w:val="7"/>
        </w:numPr>
        <w:spacing w:before="20"/>
        <w:jc w:val="both"/>
        <w:rPr>
          <w:sz w:val="18"/>
          <w:szCs w:val="18"/>
        </w:rPr>
      </w:pPr>
      <w:hyperlink r:id="rId26">
        <w:r w:rsidR="00EC67E7">
          <w:rPr>
            <w:color w:val="1155CC"/>
            <w:sz w:val="18"/>
            <w:szCs w:val="18"/>
            <w:u w:val="single"/>
          </w:rPr>
          <w:t xml:space="preserve">Lipton RB, Goadsby PJ, Smith J, et al. Efficacy and safety of eptinezumab in patients with chronic migraine: PROMISE-2. </w:t>
        </w:r>
      </w:hyperlink>
      <w:hyperlink r:id="rId27">
        <w:r w:rsidR="00EC67E7">
          <w:rPr>
            <w:i/>
            <w:color w:val="1155CC"/>
            <w:sz w:val="18"/>
            <w:szCs w:val="18"/>
            <w:u w:val="single"/>
          </w:rPr>
          <w:t>Neurology</w:t>
        </w:r>
      </w:hyperlink>
      <w:hyperlink r:id="rId28">
        <w:r w:rsidR="00EC67E7">
          <w:rPr>
            <w:color w:val="1155CC"/>
            <w:sz w:val="18"/>
            <w:szCs w:val="18"/>
            <w:u w:val="single"/>
          </w:rPr>
          <w:t>. 2020;</w:t>
        </w:r>
        <w:proofErr w:type="gramStart"/>
        <w:r w:rsidR="00EC67E7">
          <w:rPr>
            <w:color w:val="1155CC"/>
            <w:sz w:val="18"/>
            <w:szCs w:val="18"/>
            <w:u w:val="single"/>
          </w:rPr>
          <w:t>94:e</w:t>
        </w:r>
        <w:proofErr w:type="gramEnd"/>
        <w:r w:rsidR="00EC67E7">
          <w:rPr>
            <w:color w:val="1155CC"/>
            <w:sz w:val="18"/>
            <w:szCs w:val="18"/>
            <w:u w:val="single"/>
          </w:rPr>
          <w:t>1365-e1377</w:t>
        </w:r>
      </w:hyperlink>
      <w:hyperlink r:id="rId29">
        <w:r w:rsidR="00EC67E7">
          <w:rPr>
            <w:color w:val="1155CC"/>
            <w:sz w:val="18"/>
            <w:szCs w:val="18"/>
          </w:rPr>
          <w:t>.</w:t>
        </w:r>
      </w:hyperlink>
    </w:p>
    <w:p w14:paraId="445B587B" w14:textId="77777777" w:rsidR="00EC67E7" w:rsidRDefault="00000000" w:rsidP="00EC67E7">
      <w:pPr>
        <w:numPr>
          <w:ilvl w:val="0"/>
          <w:numId w:val="7"/>
        </w:numPr>
        <w:spacing w:line="256" w:lineRule="auto"/>
        <w:jc w:val="both"/>
        <w:rPr>
          <w:sz w:val="18"/>
          <w:szCs w:val="18"/>
        </w:rPr>
      </w:pPr>
      <w:hyperlink r:id="rId30">
        <w:r w:rsidR="00EC67E7">
          <w:rPr>
            <w:color w:val="1155CC"/>
            <w:sz w:val="18"/>
            <w:szCs w:val="18"/>
            <w:u w:val="single"/>
          </w:rPr>
          <w:t xml:space="preserve">Ashina M, Lanteri-Minet M, Pozo-Rosich P, et al. Safety and efficacy of eptinezumab for migraine prevention in patients with two-to-four previous preventive treatment failures (DELIVER): a multi-arm, randomised, double-blind, placebo-controlled, phase 3b trial. </w:t>
        </w:r>
      </w:hyperlink>
      <w:hyperlink r:id="rId31">
        <w:r w:rsidR="00EC67E7">
          <w:rPr>
            <w:i/>
            <w:color w:val="1155CC"/>
            <w:sz w:val="18"/>
            <w:szCs w:val="18"/>
            <w:u w:val="single"/>
          </w:rPr>
          <w:t>Lancet Neurol.</w:t>
        </w:r>
      </w:hyperlink>
      <w:hyperlink r:id="rId32">
        <w:r w:rsidR="00EC67E7">
          <w:rPr>
            <w:color w:val="1155CC"/>
            <w:sz w:val="18"/>
            <w:szCs w:val="18"/>
            <w:u w:val="single"/>
          </w:rPr>
          <w:t xml:space="preserve"> 2022;21:597-607</w:t>
        </w:r>
      </w:hyperlink>
      <w:hyperlink r:id="rId33">
        <w:r w:rsidR="00EC67E7">
          <w:rPr>
            <w:color w:val="1155CC"/>
            <w:sz w:val="18"/>
            <w:szCs w:val="18"/>
          </w:rPr>
          <w:t>.</w:t>
        </w:r>
      </w:hyperlink>
    </w:p>
    <w:p w14:paraId="7F5E3236" w14:textId="77777777" w:rsidR="00EC67E7" w:rsidRDefault="00EC67E7" w:rsidP="00EC67E7">
      <w:pPr>
        <w:spacing w:line="256" w:lineRule="auto"/>
        <w:jc w:val="both"/>
        <w:rPr>
          <w:sz w:val="18"/>
          <w:szCs w:val="18"/>
        </w:rPr>
      </w:pPr>
    </w:p>
    <w:p w14:paraId="5BB9360E" w14:textId="77777777" w:rsidR="00EC67E7" w:rsidRDefault="00EC67E7" w:rsidP="00EC67E7">
      <w:pPr>
        <w:spacing w:line="256" w:lineRule="auto"/>
        <w:jc w:val="both"/>
        <w:rPr>
          <w:sz w:val="18"/>
          <w:szCs w:val="18"/>
        </w:rPr>
      </w:pPr>
      <w:r>
        <w:rPr>
          <w:sz w:val="18"/>
          <w:szCs w:val="18"/>
        </w:rPr>
        <w:t>Episodic:</w:t>
      </w:r>
    </w:p>
    <w:p w14:paraId="6B5B9B43" w14:textId="77777777" w:rsidR="00EC67E7" w:rsidRDefault="00000000" w:rsidP="00EC67E7">
      <w:pPr>
        <w:numPr>
          <w:ilvl w:val="0"/>
          <w:numId w:val="10"/>
        </w:numPr>
        <w:spacing w:line="256" w:lineRule="auto"/>
        <w:jc w:val="both"/>
        <w:rPr>
          <w:sz w:val="18"/>
          <w:szCs w:val="18"/>
        </w:rPr>
      </w:pPr>
      <w:hyperlink r:id="rId34">
        <w:r w:rsidR="00EC67E7">
          <w:rPr>
            <w:color w:val="1155CC"/>
            <w:sz w:val="18"/>
            <w:szCs w:val="18"/>
            <w:u w:val="single"/>
          </w:rPr>
          <w:t xml:space="preserve">Smith TR, Janelidze M, Chakhava G, et al. Eptinezumab for the prevention of episodic migraine: sustained effect through 1 year of treatment in the PROMISE-2 study. </w:t>
        </w:r>
      </w:hyperlink>
      <w:hyperlink r:id="rId35">
        <w:r w:rsidR="00EC67E7">
          <w:rPr>
            <w:i/>
            <w:color w:val="1155CC"/>
            <w:sz w:val="18"/>
            <w:szCs w:val="18"/>
            <w:u w:val="single"/>
          </w:rPr>
          <w:t>Clin Ther</w:t>
        </w:r>
      </w:hyperlink>
      <w:hyperlink r:id="rId36">
        <w:r w:rsidR="00EC67E7">
          <w:rPr>
            <w:color w:val="1155CC"/>
            <w:sz w:val="18"/>
            <w:szCs w:val="18"/>
            <w:u w:val="single"/>
          </w:rPr>
          <w:t>. 2020;42(12):2254-2265.e3</w:t>
        </w:r>
      </w:hyperlink>
      <w:r w:rsidR="00EC67E7">
        <w:rPr>
          <w:color w:val="1155CC"/>
          <w:sz w:val="18"/>
          <w:szCs w:val="18"/>
        </w:rPr>
        <w:t>.</w:t>
      </w:r>
    </w:p>
    <w:p w14:paraId="346053EC" w14:textId="77777777" w:rsidR="00EC67E7" w:rsidRDefault="00000000" w:rsidP="00EC67E7">
      <w:pPr>
        <w:numPr>
          <w:ilvl w:val="0"/>
          <w:numId w:val="10"/>
        </w:numPr>
        <w:spacing w:line="256" w:lineRule="auto"/>
        <w:jc w:val="both"/>
        <w:rPr>
          <w:sz w:val="18"/>
          <w:szCs w:val="18"/>
        </w:rPr>
      </w:pPr>
      <w:hyperlink r:id="rId37">
        <w:r w:rsidR="00EC67E7">
          <w:rPr>
            <w:color w:val="1155CC"/>
            <w:sz w:val="18"/>
            <w:szCs w:val="18"/>
            <w:u w:val="single"/>
          </w:rPr>
          <w:t xml:space="preserve">Ashina M, Saper J, Cady R, et al. Eptinezumab in episodic migraine: a randomized, double-blind, placebo-controlled study (PROMISE-1). </w:t>
        </w:r>
      </w:hyperlink>
      <w:hyperlink r:id="rId38">
        <w:r w:rsidR="00EC67E7">
          <w:rPr>
            <w:i/>
            <w:color w:val="1155CC"/>
            <w:sz w:val="18"/>
            <w:szCs w:val="18"/>
            <w:u w:val="single"/>
          </w:rPr>
          <w:t>Cephalalgia</w:t>
        </w:r>
      </w:hyperlink>
      <w:hyperlink r:id="rId39">
        <w:r w:rsidR="00EC67E7">
          <w:rPr>
            <w:color w:val="1155CC"/>
            <w:sz w:val="18"/>
            <w:szCs w:val="18"/>
            <w:u w:val="single"/>
          </w:rPr>
          <w:t>. 2020;40(3):241-254</w:t>
        </w:r>
      </w:hyperlink>
      <w:r w:rsidR="00EC67E7">
        <w:rPr>
          <w:sz w:val="18"/>
          <w:szCs w:val="18"/>
        </w:rPr>
        <w:t>.</w:t>
      </w:r>
    </w:p>
    <w:p w14:paraId="6E8064DD" w14:textId="77777777" w:rsidR="00EC67E7" w:rsidRDefault="00EC67E7" w:rsidP="00EC67E7">
      <w:pPr>
        <w:spacing w:line="256" w:lineRule="auto"/>
        <w:ind w:left="360"/>
        <w:jc w:val="both"/>
        <w:rPr>
          <w:sz w:val="18"/>
          <w:szCs w:val="18"/>
        </w:rPr>
      </w:pPr>
    </w:p>
    <w:p w14:paraId="4EAA7436" w14:textId="5565A4A5" w:rsidR="00EC67E7" w:rsidRDefault="00EC67E7" w:rsidP="00EC67E7">
      <w:pPr>
        <w:widowControl/>
        <w:spacing w:after="160" w:line="259" w:lineRule="auto"/>
        <w:jc w:val="both"/>
        <w:rPr>
          <w:b/>
          <w:sz w:val="18"/>
          <w:szCs w:val="18"/>
          <w:u w:val="single"/>
        </w:rPr>
      </w:pPr>
      <w:r>
        <w:rPr>
          <w:b/>
          <w:sz w:val="18"/>
          <w:szCs w:val="18"/>
          <w:u w:val="single"/>
        </w:rPr>
        <w:t>Reduction in migraine days and response rates: reference on use of VYEPTI as treatment in Chronic and Episodic Migraine</w:t>
      </w:r>
    </w:p>
    <w:p w14:paraId="7C39141B" w14:textId="77777777" w:rsidR="00EC67E7" w:rsidRDefault="00EC67E7" w:rsidP="00EC67E7">
      <w:pPr>
        <w:widowControl/>
        <w:spacing w:before="20" w:after="160" w:line="259" w:lineRule="auto"/>
        <w:jc w:val="both"/>
        <w:rPr>
          <w:b/>
          <w:sz w:val="18"/>
          <w:szCs w:val="18"/>
          <w:u w:val="single"/>
        </w:rPr>
      </w:pPr>
      <w:r>
        <w:rPr>
          <w:sz w:val="18"/>
          <w:szCs w:val="18"/>
        </w:rPr>
        <w:t>Chronic:</w:t>
      </w:r>
    </w:p>
    <w:p w14:paraId="34C53D81" w14:textId="77777777" w:rsidR="00EC67E7" w:rsidRDefault="00000000" w:rsidP="00EC67E7">
      <w:pPr>
        <w:numPr>
          <w:ilvl w:val="0"/>
          <w:numId w:val="5"/>
        </w:numPr>
        <w:spacing w:before="20"/>
        <w:jc w:val="both"/>
        <w:rPr>
          <w:sz w:val="18"/>
          <w:szCs w:val="18"/>
        </w:rPr>
      </w:pPr>
      <w:hyperlink r:id="rId40">
        <w:r w:rsidR="00EC67E7">
          <w:rPr>
            <w:color w:val="1155CC"/>
            <w:sz w:val="18"/>
            <w:szCs w:val="18"/>
            <w:u w:val="single"/>
          </w:rPr>
          <w:t>Silberstein S, Diamond M, Hindiyeh NA, et al. Eptinezumab for the prevention of chronic migraine: efficacy and safety through 24 weeks of treatment in the phase 3 PROMISE-2 (Prevention of migraine via intravenous ALD403 safety and efficacy-2) study.</w:t>
        </w:r>
      </w:hyperlink>
      <w:hyperlink r:id="rId41">
        <w:r w:rsidR="00EC67E7">
          <w:rPr>
            <w:i/>
            <w:color w:val="1155CC"/>
            <w:sz w:val="18"/>
            <w:szCs w:val="18"/>
            <w:u w:val="single"/>
          </w:rPr>
          <w:t xml:space="preserve"> J Headache Pain</w:t>
        </w:r>
      </w:hyperlink>
      <w:hyperlink r:id="rId42">
        <w:r w:rsidR="00EC67E7">
          <w:rPr>
            <w:color w:val="1155CC"/>
            <w:sz w:val="18"/>
            <w:szCs w:val="18"/>
            <w:u w:val="single"/>
          </w:rPr>
          <w:t>. 2020;21(1):120</w:t>
        </w:r>
      </w:hyperlink>
      <w:hyperlink r:id="rId43">
        <w:r w:rsidR="00EC67E7">
          <w:rPr>
            <w:color w:val="1155CC"/>
            <w:sz w:val="18"/>
            <w:szCs w:val="18"/>
          </w:rPr>
          <w:t>.</w:t>
        </w:r>
      </w:hyperlink>
    </w:p>
    <w:p w14:paraId="0DD554B5" w14:textId="77777777" w:rsidR="00EC67E7" w:rsidRDefault="00000000" w:rsidP="00EC67E7">
      <w:pPr>
        <w:widowControl/>
        <w:numPr>
          <w:ilvl w:val="0"/>
          <w:numId w:val="5"/>
        </w:numPr>
        <w:spacing w:before="20" w:after="160"/>
        <w:jc w:val="both"/>
        <w:rPr>
          <w:sz w:val="18"/>
          <w:szCs w:val="18"/>
        </w:rPr>
      </w:pPr>
      <w:hyperlink r:id="rId44">
        <w:r w:rsidR="00EC67E7">
          <w:rPr>
            <w:color w:val="1155CC"/>
            <w:sz w:val="18"/>
            <w:szCs w:val="18"/>
            <w:u w:val="single"/>
          </w:rPr>
          <w:t xml:space="preserve">Lipton RB, Goadsby PJ, Smith J, et al. Efficacy and safety of eptinezumab in patients with chronic migraine: PROMISE-2. </w:t>
        </w:r>
      </w:hyperlink>
      <w:hyperlink r:id="rId45">
        <w:r w:rsidR="00EC67E7">
          <w:rPr>
            <w:i/>
            <w:color w:val="1155CC"/>
            <w:sz w:val="18"/>
            <w:szCs w:val="18"/>
            <w:u w:val="single"/>
          </w:rPr>
          <w:t>Neurology</w:t>
        </w:r>
      </w:hyperlink>
      <w:hyperlink r:id="rId46">
        <w:r w:rsidR="00EC67E7">
          <w:rPr>
            <w:color w:val="1155CC"/>
            <w:sz w:val="18"/>
            <w:szCs w:val="18"/>
            <w:u w:val="single"/>
          </w:rPr>
          <w:t>. 2020;</w:t>
        </w:r>
        <w:proofErr w:type="gramStart"/>
        <w:r w:rsidR="00EC67E7">
          <w:rPr>
            <w:color w:val="1155CC"/>
            <w:sz w:val="18"/>
            <w:szCs w:val="18"/>
            <w:u w:val="single"/>
          </w:rPr>
          <w:t>94:e</w:t>
        </w:r>
        <w:proofErr w:type="gramEnd"/>
        <w:r w:rsidR="00EC67E7">
          <w:rPr>
            <w:color w:val="1155CC"/>
            <w:sz w:val="18"/>
            <w:szCs w:val="18"/>
            <w:u w:val="single"/>
          </w:rPr>
          <w:t>1365-e1377</w:t>
        </w:r>
      </w:hyperlink>
      <w:hyperlink r:id="rId47">
        <w:r w:rsidR="00EC67E7">
          <w:rPr>
            <w:color w:val="1155CC"/>
            <w:sz w:val="18"/>
            <w:szCs w:val="18"/>
          </w:rPr>
          <w:t>.</w:t>
        </w:r>
      </w:hyperlink>
    </w:p>
    <w:p w14:paraId="4C1F6B3C" w14:textId="77777777" w:rsidR="00EC67E7" w:rsidRDefault="00EC67E7" w:rsidP="00EC67E7">
      <w:pPr>
        <w:widowControl/>
        <w:spacing w:before="20" w:after="160" w:line="259" w:lineRule="auto"/>
        <w:jc w:val="both"/>
        <w:rPr>
          <w:sz w:val="18"/>
          <w:szCs w:val="18"/>
        </w:rPr>
      </w:pPr>
      <w:r>
        <w:rPr>
          <w:sz w:val="18"/>
          <w:szCs w:val="18"/>
        </w:rPr>
        <w:t>Episodic:</w:t>
      </w:r>
    </w:p>
    <w:p w14:paraId="6C61C193" w14:textId="77777777" w:rsidR="00EC67E7" w:rsidRDefault="00000000" w:rsidP="00EC67E7">
      <w:pPr>
        <w:numPr>
          <w:ilvl w:val="0"/>
          <w:numId w:val="12"/>
        </w:numPr>
        <w:spacing w:before="20"/>
        <w:jc w:val="both"/>
        <w:rPr>
          <w:sz w:val="18"/>
          <w:szCs w:val="18"/>
        </w:rPr>
      </w:pPr>
      <w:hyperlink r:id="rId48">
        <w:r w:rsidR="00EC67E7">
          <w:rPr>
            <w:color w:val="1155CC"/>
            <w:sz w:val="18"/>
            <w:szCs w:val="18"/>
            <w:u w:val="single"/>
          </w:rPr>
          <w:t xml:space="preserve">Smith TR, Janelidze M, Chakhava G, et al. Eptinezumab for the prevention of episodic migraine: sustained effect through 1 year of treatment in the PROMISE-2 study. </w:t>
        </w:r>
      </w:hyperlink>
      <w:hyperlink r:id="rId49">
        <w:r w:rsidR="00EC67E7">
          <w:rPr>
            <w:i/>
            <w:color w:val="1155CC"/>
            <w:sz w:val="18"/>
            <w:szCs w:val="18"/>
            <w:u w:val="single"/>
          </w:rPr>
          <w:t>Clin Ther</w:t>
        </w:r>
      </w:hyperlink>
      <w:hyperlink r:id="rId50">
        <w:r w:rsidR="00EC67E7">
          <w:rPr>
            <w:color w:val="1155CC"/>
            <w:sz w:val="18"/>
            <w:szCs w:val="18"/>
            <w:u w:val="single"/>
          </w:rPr>
          <w:t>. 2020;42(12):2254-2265.e3</w:t>
        </w:r>
      </w:hyperlink>
      <w:r w:rsidR="00EC67E7">
        <w:rPr>
          <w:color w:val="1155CC"/>
          <w:sz w:val="18"/>
          <w:szCs w:val="18"/>
        </w:rPr>
        <w:t>.</w:t>
      </w:r>
    </w:p>
    <w:p w14:paraId="7D4C0A00" w14:textId="77777777" w:rsidR="00EC67E7" w:rsidRDefault="00000000" w:rsidP="00EC67E7">
      <w:pPr>
        <w:widowControl/>
        <w:numPr>
          <w:ilvl w:val="0"/>
          <w:numId w:val="6"/>
        </w:numPr>
        <w:spacing w:before="20" w:after="160" w:line="259" w:lineRule="auto"/>
        <w:jc w:val="both"/>
        <w:rPr>
          <w:sz w:val="18"/>
          <w:szCs w:val="18"/>
        </w:rPr>
      </w:pPr>
      <w:hyperlink r:id="rId51">
        <w:r w:rsidR="00EC67E7">
          <w:rPr>
            <w:color w:val="1155CC"/>
            <w:sz w:val="18"/>
            <w:szCs w:val="18"/>
            <w:u w:val="single"/>
          </w:rPr>
          <w:t xml:space="preserve">Ashina M, Saper J, Cady R, et al. Eptinezumab in episodic migraine: a randomized, double-blind, placebo-controlled study (PROMISE-1). </w:t>
        </w:r>
      </w:hyperlink>
      <w:hyperlink r:id="rId52">
        <w:r w:rsidR="00EC67E7">
          <w:rPr>
            <w:i/>
            <w:color w:val="1155CC"/>
            <w:sz w:val="18"/>
            <w:szCs w:val="18"/>
            <w:u w:val="single"/>
          </w:rPr>
          <w:t>Cephalalgia</w:t>
        </w:r>
      </w:hyperlink>
      <w:hyperlink r:id="rId53">
        <w:r w:rsidR="00EC67E7">
          <w:rPr>
            <w:color w:val="1155CC"/>
            <w:sz w:val="18"/>
            <w:szCs w:val="18"/>
            <w:u w:val="single"/>
          </w:rPr>
          <w:t>. 2020;40(3):241-254</w:t>
        </w:r>
      </w:hyperlink>
      <w:hyperlink r:id="rId54">
        <w:r w:rsidR="00EC67E7">
          <w:rPr>
            <w:color w:val="1155CC"/>
            <w:sz w:val="18"/>
            <w:szCs w:val="18"/>
          </w:rPr>
          <w:t>.</w:t>
        </w:r>
      </w:hyperlink>
    </w:p>
    <w:p w14:paraId="6928ADE4" w14:textId="77777777" w:rsidR="00EC67E7" w:rsidRDefault="00EC67E7" w:rsidP="00EC67E7">
      <w:pPr>
        <w:spacing w:line="259" w:lineRule="auto"/>
        <w:jc w:val="both"/>
        <w:rPr>
          <w:b/>
          <w:sz w:val="18"/>
          <w:szCs w:val="18"/>
          <w:u w:val="single"/>
        </w:rPr>
      </w:pPr>
      <w:r>
        <w:rPr>
          <w:b/>
          <w:sz w:val="18"/>
          <w:szCs w:val="18"/>
          <w:u w:val="single"/>
        </w:rPr>
        <w:t>Acute medication day reduction: reference on use of VYEPTI as treatment in Chronic Migraine</w:t>
      </w:r>
    </w:p>
    <w:p w14:paraId="58A3E276" w14:textId="77777777" w:rsidR="00EC67E7" w:rsidRDefault="00000000" w:rsidP="00EC67E7">
      <w:pPr>
        <w:numPr>
          <w:ilvl w:val="0"/>
          <w:numId w:val="9"/>
        </w:numPr>
        <w:spacing w:before="20"/>
        <w:jc w:val="both"/>
        <w:rPr>
          <w:sz w:val="18"/>
          <w:szCs w:val="18"/>
        </w:rPr>
      </w:pPr>
      <w:hyperlink r:id="rId55">
        <w:r w:rsidR="00EC67E7">
          <w:rPr>
            <w:color w:val="1155CC"/>
            <w:sz w:val="18"/>
            <w:szCs w:val="18"/>
            <w:u w:val="single"/>
          </w:rPr>
          <w:t>Silberstein S, Diamond M, Hindiyeh NA, et al. Eptinezumab for the prevention of chronic migraine: efficacy and safety through 24 weeks of treatment in the phase 3 PROMISE-2 (Prevention of migraine via intravenous ALD403 safety and efficacy-2) study.</w:t>
        </w:r>
      </w:hyperlink>
      <w:hyperlink r:id="rId56">
        <w:r w:rsidR="00EC67E7">
          <w:rPr>
            <w:i/>
            <w:color w:val="1155CC"/>
            <w:sz w:val="18"/>
            <w:szCs w:val="18"/>
            <w:u w:val="single"/>
          </w:rPr>
          <w:t xml:space="preserve"> J Headache Pain</w:t>
        </w:r>
      </w:hyperlink>
      <w:hyperlink r:id="rId57">
        <w:r w:rsidR="00EC67E7">
          <w:rPr>
            <w:color w:val="1155CC"/>
            <w:sz w:val="18"/>
            <w:szCs w:val="18"/>
            <w:u w:val="single"/>
          </w:rPr>
          <w:t>. 2020;21(1):120</w:t>
        </w:r>
      </w:hyperlink>
      <w:hyperlink r:id="rId58">
        <w:r w:rsidR="00EC67E7">
          <w:rPr>
            <w:color w:val="1155CC"/>
            <w:sz w:val="18"/>
            <w:szCs w:val="18"/>
          </w:rPr>
          <w:t>.</w:t>
        </w:r>
      </w:hyperlink>
    </w:p>
    <w:p w14:paraId="2233B285" w14:textId="77777777" w:rsidR="00EC67E7" w:rsidRDefault="00EC67E7" w:rsidP="00EC67E7">
      <w:pPr>
        <w:spacing w:line="259" w:lineRule="auto"/>
        <w:jc w:val="both"/>
        <w:rPr>
          <w:b/>
          <w:sz w:val="18"/>
          <w:szCs w:val="18"/>
          <w:u w:val="single"/>
        </w:rPr>
      </w:pPr>
    </w:p>
    <w:p w14:paraId="34545024" w14:textId="77777777" w:rsidR="00EC67E7" w:rsidRDefault="00EC67E7" w:rsidP="00EC67E7">
      <w:pPr>
        <w:spacing w:line="259" w:lineRule="auto"/>
        <w:jc w:val="both"/>
        <w:rPr>
          <w:b/>
          <w:sz w:val="18"/>
          <w:szCs w:val="18"/>
          <w:u w:val="single"/>
        </w:rPr>
      </w:pPr>
      <w:r>
        <w:rPr>
          <w:b/>
          <w:sz w:val="18"/>
          <w:szCs w:val="18"/>
          <w:u w:val="single"/>
        </w:rPr>
        <w:t>Treatment disruption: reference on use of VYEPTI as treatment in Chronic Migraine</w:t>
      </w:r>
    </w:p>
    <w:p w14:paraId="219334EB" w14:textId="77777777" w:rsidR="00EC67E7" w:rsidRDefault="00000000" w:rsidP="00EC67E7">
      <w:pPr>
        <w:widowControl/>
        <w:numPr>
          <w:ilvl w:val="0"/>
          <w:numId w:val="8"/>
        </w:numPr>
        <w:jc w:val="both"/>
        <w:rPr>
          <w:sz w:val="18"/>
          <w:szCs w:val="18"/>
        </w:rPr>
      </w:pPr>
      <w:hyperlink r:id="rId59">
        <w:r w:rsidR="00EC67E7">
          <w:rPr>
            <w:color w:val="1155CC"/>
            <w:sz w:val="18"/>
            <w:szCs w:val="18"/>
            <w:u w:val="single"/>
          </w:rPr>
          <w:t xml:space="preserve">Newman L, Vo P, Zhou L, et al. Health care utilization and costs in patients with migraine who have failed previous preventive treatments. </w:t>
        </w:r>
      </w:hyperlink>
      <w:hyperlink r:id="rId60">
        <w:r w:rsidR="00EC67E7">
          <w:rPr>
            <w:i/>
            <w:color w:val="1155CC"/>
            <w:sz w:val="18"/>
            <w:szCs w:val="18"/>
            <w:u w:val="single"/>
          </w:rPr>
          <w:t>Neurol Clin Pract.</w:t>
        </w:r>
      </w:hyperlink>
      <w:hyperlink r:id="rId61">
        <w:r w:rsidR="00EC67E7">
          <w:rPr>
            <w:color w:val="1155CC"/>
            <w:sz w:val="18"/>
            <w:szCs w:val="18"/>
            <w:u w:val="single"/>
          </w:rPr>
          <w:t xml:space="preserve"> 2021;11(3):206-215</w:t>
        </w:r>
      </w:hyperlink>
      <w:r w:rsidR="00EC67E7">
        <w:rPr>
          <w:color w:val="0000FF"/>
          <w:sz w:val="18"/>
          <w:szCs w:val="18"/>
        </w:rPr>
        <w:t>.</w:t>
      </w:r>
      <w:r w:rsidR="00EC67E7">
        <w:rPr>
          <w:sz w:val="18"/>
          <w:szCs w:val="18"/>
        </w:rPr>
        <w:t xml:space="preserve"> </w:t>
      </w:r>
    </w:p>
    <w:p w14:paraId="2761EBEC" w14:textId="77777777" w:rsidR="00EC67E7" w:rsidRDefault="00EC67E7" w:rsidP="00EC67E7">
      <w:pPr>
        <w:spacing w:line="259" w:lineRule="auto"/>
        <w:jc w:val="both"/>
        <w:rPr>
          <w:b/>
          <w:sz w:val="18"/>
          <w:szCs w:val="18"/>
          <w:u w:val="single"/>
        </w:rPr>
      </w:pPr>
    </w:p>
    <w:p w14:paraId="72A47A53" w14:textId="77777777" w:rsidR="00EC67E7" w:rsidRDefault="00EC67E7" w:rsidP="00EC67E7">
      <w:pPr>
        <w:spacing w:line="259" w:lineRule="auto"/>
        <w:jc w:val="both"/>
        <w:rPr>
          <w:b/>
          <w:sz w:val="18"/>
          <w:szCs w:val="18"/>
          <w:u w:val="single"/>
        </w:rPr>
      </w:pPr>
      <w:r>
        <w:rPr>
          <w:b/>
          <w:sz w:val="18"/>
          <w:szCs w:val="18"/>
          <w:u w:val="single"/>
        </w:rPr>
        <w:t>Inadequate migraine treatment: reference on use of VYEPTI as treatment in Chronic Migraine</w:t>
      </w:r>
    </w:p>
    <w:p w14:paraId="2AF5A7D5" w14:textId="77777777" w:rsidR="00EC67E7" w:rsidRDefault="00000000" w:rsidP="00EC67E7">
      <w:pPr>
        <w:numPr>
          <w:ilvl w:val="0"/>
          <w:numId w:val="14"/>
        </w:numPr>
        <w:spacing w:line="259" w:lineRule="auto"/>
        <w:jc w:val="both"/>
        <w:rPr>
          <w:sz w:val="18"/>
          <w:szCs w:val="18"/>
        </w:rPr>
      </w:pPr>
      <w:hyperlink r:id="rId62">
        <w:r w:rsidR="00EC67E7">
          <w:rPr>
            <w:color w:val="1155CC"/>
            <w:sz w:val="18"/>
            <w:szCs w:val="18"/>
            <w:u w:val="single"/>
          </w:rPr>
          <w:t xml:space="preserve">Bigal ME, Lipton RB. Migraine chronification. </w:t>
        </w:r>
      </w:hyperlink>
      <w:hyperlink r:id="rId63">
        <w:r w:rsidR="00EC67E7">
          <w:rPr>
            <w:i/>
            <w:color w:val="1155CC"/>
            <w:sz w:val="18"/>
            <w:szCs w:val="18"/>
            <w:u w:val="single"/>
          </w:rPr>
          <w:t xml:space="preserve">Curr Neurol Neurosci Rep. </w:t>
        </w:r>
      </w:hyperlink>
      <w:hyperlink r:id="rId64">
        <w:r w:rsidR="00EC67E7">
          <w:rPr>
            <w:color w:val="1155CC"/>
            <w:sz w:val="18"/>
            <w:szCs w:val="18"/>
            <w:u w:val="single"/>
          </w:rPr>
          <w:t>2011;11(2):139-148. </w:t>
        </w:r>
      </w:hyperlink>
    </w:p>
    <w:p w14:paraId="2D345C97" w14:textId="77777777" w:rsidR="00EC67E7" w:rsidRDefault="00000000" w:rsidP="00EC67E7">
      <w:pPr>
        <w:numPr>
          <w:ilvl w:val="0"/>
          <w:numId w:val="14"/>
        </w:numPr>
        <w:spacing w:line="259" w:lineRule="auto"/>
        <w:jc w:val="both"/>
        <w:rPr>
          <w:sz w:val="18"/>
          <w:szCs w:val="18"/>
        </w:rPr>
      </w:pPr>
      <w:hyperlink r:id="rId65">
        <w:r w:rsidR="00EC67E7">
          <w:rPr>
            <w:color w:val="1155CC"/>
            <w:sz w:val="18"/>
            <w:szCs w:val="18"/>
            <w:u w:val="single"/>
          </w:rPr>
          <w:t xml:space="preserve">Buse DC, Greisman JD, Baigi K, et al. Migraine progression: a systematic review. </w:t>
        </w:r>
      </w:hyperlink>
      <w:hyperlink r:id="rId66">
        <w:r w:rsidR="00EC67E7">
          <w:rPr>
            <w:i/>
            <w:color w:val="1155CC"/>
            <w:sz w:val="18"/>
            <w:szCs w:val="18"/>
            <w:u w:val="single"/>
          </w:rPr>
          <w:t>Headache</w:t>
        </w:r>
      </w:hyperlink>
      <w:hyperlink r:id="rId67">
        <w:r w:rsidR="00EC67E7">
          <w:rPr>
            <w:color w:val="1155CC"/>
            <w:sz w:val="18"/>
            <w:szCs w:val="18"/>
            <w:u w:val="single"/>
          </w:rPr>
          <w:t>. 2019;59(3):306-338</w:t>
        </w:r>
      </w:hyperlink>
      <w:hyperlink r:id="rId68">
        <w:r w:rsidR="00EC67E7">
          <w:rPr>
            <w:color w:val="1155CC"/>
            <w:sz w:val="18"/>
            <w:szCs w:val="18"/>
          </w:rPr>
          <w:t>.</w:t>
        </w:r>
      </w:hyperlink>
    </w:p>
    <w:p w14:paraId="4CD0C7E6" w14:textId="77777777" w:rsidR="00EC67E7" w:rsidRDefault="00000000" w:rsidP="00EC67E7">
      <w:pPr>
        <w:numPr>
          <w:ilvl w:val="0"/>
          <w:numId w:val="14"/>
        </w:numPr>
        <w:spacing w:line="259" w:lineRule="auto"/>
        <w:jc w:val="both"/>
        <w:rPr>
          <w:sz w:val="18"/>
          <w:szCs w:val="18"/>
        </w:rPr>
      </w:pPr>
      <w:hyperlink r:id="rId69">
        <w:r w:rsidR="00EC67E7">
          <w:rPr>
            <w:color w:val="1155CC"/>
            <w:sz w:val="18"/>
            <w:szCs w:val="18"/>
            <w:u w:val="single"/>
          </w:rPr>
          <w:t xml:space="preserve">Pozo-Rosich P, Dodick DW, Ettrup A, et al. Shift in diagnostic classification of migraine after initiation of preventive treatment with eptinezumab: post hoc analysis of the PROMISE studies. </w:t>
        </w:r>
      </w:hyperlink>
      <w:hyperlink r:id="rId70">
        <w:r w:rsidR="00EC67E7">
          <w:rPr>
            <w:i/>
            <w:color w:val="1155CC"/>
            <w:sz w:val="18"/>
            <w:szCs w:val="18"/>
            <w:u w:val="single"/>
          </w:rPr>
          <w:t>BMC Neurol</w:t>
        </w:r>
      </w:hyperlink>
      <w:hyperlink r:id="rId71">
        <w:r w:rsidR="00EC67E7">
          <w:rPr>
            <w:color w:val="1155CC"/>
            <w:sz w:val="18"/>
            <w:szCs w:val="18"/>
            <w:u w:val="single"/>
          </w:rPr>
          <w:t>. 2022;22(1):394</w:t>
        </w:r>
      </w:hyperlink>
      <w:hyperlink r:id="rId72">
        <w:r w:rsidR="00EC67E7">
          <w:rPr>
            <w:color w:val="1155CC"/>
            <w:sz w:val="18"/>
            <w:szCs w:val="18"/>
          </w:rPr>
          <w:t>.</w:t>
        </w:r>
      </w:hyperlink>
    </w:p>
    <w:p w14:paraId="0091A17E" w14:textId="77777777" w:rsidR="00EC67E7" w:rsidRDefault="00EC67E7" w:rsidP="00EC67E7">
      <w:pPr>
        <w:spacing w:line="259" w:lineRule="auto"/>
        <w:jc w:val="both"/>
        <w:rPr>
          <w:sz w:val="18"/>
          <w:szCs w:val="18"/>
        </w:rPr>
      </w:pPr>
    </w:p>
    <w:p w14:paraId="6DED1791" w14:textId="77777777" w:rsidR="00EC67E7" w:rsidRDefault="00EC67E7" w:rsidP="00EC67E7">
      <w:pPr>
        <w:spacing w:line="256" w:lineRule="auto"/>
        <w:jc w:val="both"/>
        <w:rPr>
          <w:b/>
          <w:sz w:val="18"/>
          <w:szCs w:val="18"/>
          <w:u w:val="single"/>
        </w:rPr>
      </w:pPr>
      <w:r>
        <w:rPr>
          <w:b/>
          <w:sz w:val="18"/>
          <w:szCs w:val="18"/>
          <w:u w:val="single"/>
        </w:rPr>
        <w:t>Adjusting treatment to patient needs: reference on use of VYEPTI as treatment in Chronic and Episodic Migraine</w:t>
      </w:r>
    </w:p>
    <w:p w14:paraId="3BAE09BE" w14:textId="77777777" w:rsidR="00EC67E7" w:rsidRDefault="00000000" w:rsidP="00EC67E7">
      <w:pPr>
        <w:numPr>
          <w:ilvl w:val="0"/>
          <w:numId w:val="11"/>
        </w:numPr>
        <w:spacing w:line="256" w:lineRule="auto"/>
        <w:jc w:val="both"/>
        <w:rPr>
          <w:sz w:val="18"/>
          <w:szCs w:val="18"/>
        </w:rPr>
      </w:pPr>
      <w:hyperlink r:id="rId73">
        <w:r w:rsidR="00EC67E7">
          <w:rPr>
            <w:color w:val="1155CC"/>
            <w:sz w:val="18"/>
            <w:szCs w:val="18"/>
            <w:u w:val="single"/>
          </w:rPr>
          <w:t xml:space="preserve">Ailani J, Burch RC, Robbins MS. The American Headache Society consensus statement: update on integrating new migraine treatments into clinical practice. </w:t>
        </w:r>
      </w:hyperlink>
      <w:hyperlink r:id="rId74">
        <w:r w:rsidR="00EC67E7">
          <w:rPr>
            <w:i/>
            <w:color w:val="1155CC"/>
            <w:sz w:val="18"/>
            <w:szCs w:val="18"/>
            <w:u w:val="single"/>
          </w:rPr>
          <w:t>Headache</w:t>
        </w:r>
      </w:hyperlink>
      <w:hyperlink r:id="rId75">
        <w:r w:rsidR="00EC67E7">
          <w:rPr>
            <w:color w:val="1155CC"/>
            <w:sz w:val="18"/>
            <w:szCs w:val="18"/>
            <w:u w:val="single"/>
          </w:rPr>
          <w:t>. 2021;61(7):1021-1039</w:t>
        </w:r>
      </w:hyperlink>
      <w:hyperlink r:id="rId76">
        <w:r w:rsidR="00EC67E7">
          <w:rPr>
            <w:color w:val="1155CC"/>
            <w:sz w:val="18"/>
            <w:szCs w:val="18"/>
          </w:rPr>
          <w:t>.</w:t>
        </w:r>
      </w:hyperlink>
    </w:p>
    <w:p w14:paraId="24F453E4" w14:textId="5EDF88CE" w:rsidR="003A6E7A" w:rsidRDefault="003A6E7A" w:rsidP="00EC67E7"/>
    <w:sectPr w:rsidR="003A6E7A" w:rsidSect="00EC67E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65D80" w14:textId="77777777" w:rsidR="004B6F0F" w:rsidRDefault="004B6F0F" w:rsidP="00E54673">
      <w:r>
        <w:separator/>
      </w:r>
    </w:p>
  </w:endnote>
  <w:endnote w:type="continuationSeparator" w:id="0">
    <w:p w14:paraId="21AB8B2E" w14:textId="77777777" w:rsidR="004B6F0F" w:rsidRDefault="004B6F0F" w:rsidP="00E5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FC45" w14:textId="77777777" w:rsidR="00225BD9" w:rsidRDefault="00225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2D7A" w14:textId="77777777" w:rsidR="00225BD9" w:rsidRDefault="00225B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35B7" w14:textId="77777777" w:rsidR="00225BD9" w:rsidRDefault="00225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6951" w14:textId="77777777" w:rsidR="004B6F0F" w:rsidRDefault="004B6F0F" w:rsidP="00E54673">
      <w:r>
        <w:separator/>
      </w:r>
    </w:p>
  </w:footnote>
  <w:footnote w:type="continuationSeparator" w:id="0">
    <w:p w14:paraId="0A751723" w14:textId="77777777" w:rsidR="004B6F0F" w:rsidRDefault="004B6F0F" w:rsidP="00E54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BB22" w14:textId="77777777" w:rsidR="00225BD9" w:rsidRDefault="00225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4C4E" w14:textId="4ED525AD" w:rsidR="00E54673" w:rsidRDefault="00000000">
    <w:pPr>
      <w:pStyle w:val="Header"/>
    </w:pPr>
    <w:r>
      <w:rPr>
        <w:noProof/>
      </w:rPr>
      <w:pict w14:anchorId="621332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8188820" o:spid="_x0000_s1026" type="#_x0000_t136" alt="" style="position:absolute;margin-left:0;margin-top:0;width:705.6pt;height:54.85pt;rotation:315;z-index:-251642880;mso-wrap-edited:f;mso-width-percent:0;mso-height-percent:0;mso-position-horizontal:center;mso-position-horizontal-relative:margin;mso-position-vertical:center;mso-position-vertical-relative:margin;mso-width-percent:0;mso-height-percent:0" o:allowincell="f" fillcolor="gray [1629]" stroked="f">
          <v:textpath style="font-family:&quot;Calibri&quot;;font-size:1pt;font-weight:bold" string="Remove page before using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FFE3" w14:textId="33D7FA70" w:rsidR="00E54673" w:rsidRDefault="00000000">
    <w:pPr>
      <w:pStyle w:val="Header"/>
    </w:pPr>
    <w:r>
      <w:rPr>
        <w:noProof/>
      </w:rPr>
      <w:pict w14:anchorId="7FAF6B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8188818" o:spid="_x0000_s1025" type="#_x0000_t136" alt="" style="position:absolute;margin-left:0;margin-top:0;width:705.6pt;height:54.85pt;rotation:315;z-index:-251644928;mso-wrap-edited:f;mso-width-percent:0;mso-height-percent:0;mso-position-horizontal:center;mso-position-horizontal-relative:margin;mso-position-vertical:center;mso-position-vertical-relative:margin;mso-width-percent:0;mso-height-percent:0" o:allowincell="f" fillcolor="gray [1629]" stroked="f">
          <v:textpath style="font-family:&quot;Calibri&quot;;font-size:1pt;font-weight:bold" string="Remove page before using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006"/>
    <w:multiLevelType w:val="multilevel"/>
    <w:tmpl w:val="1C18256A"/>
    <w:lvl w:ilvl="0">
      <w:numFmt w:val="bullet"/>
      <w:lvlText w:val="•"/>
      <w:lvlJc w:val="left"/>
      <w:pPr>
        <w:ind w:left="161" w:hanging="161"/>
      </w:pPr>
      <w:rPr>
        <w:rFonts w:ascii="Calibri" w:eastAsia="Calibri" w:hAnsi="Calibri" w:cs="Calibri"/>
        <w:b w:val="0"/>
        <w:i w:val="0"/>
        <w:sz w:val="22"/>
        <w:szCs w:val="22"/>
      </w:rPr>
    </w:lvl>
    <w:lvl w:ilvl="1">
      <w:numFmt w:val="bullet"/>
      <w:lvlText w:val="•"/>
      <w:lvlJc w:val="left"/>
      <w:pPr>
        <w:ind w:left="1206" w:hanging="161"/>
      </w:pPr>
    </w:lvl>
    <w:lvl w:ilvl="2">
      <w:numFmt w:val="bullet"/>
      <w:lvlText w:val="•"/>
      <w:lvlJc w:val="left"/>
      <w:pPr>
        <w:ind w:left="2132" w:hanging="161"/>
      </w:pPr>
    </w:lvl>
    <w:lvl w:ilvl="3">
      <w:numFmt w:val="bullet"/>
      <w:lvlText w:val="•"/>
      <w:lvlJc w:val="left"/>
      <w:pPr>
        <w:ind w:left="3058" w:hanging="161"/>
      </w:pPr>
    </w:lvl>
    <w:lvl w:ilvl="4">
      <w:numFmt w:val="bullet"/>
      <w:lvlText w:val="•"/>
      <w:lvlJc w:val="left"/>
      <w:pPr>
        <w:ind w:left="3984" w:hanging="161"/>
      </w:pPr>
    </w:lvl>
    <w:lvl w:ilvl="5">
      <w:numFmt w:val="bullet"/>
      <w:lvlText w:val="•"/>
      <w:lvlJc w:val="left"/>
      <w:pPr>
        <w:ind w:left="4910" w:hanging="161"/>
      </w:pPr>
    </w:lvl>
    <w:lvl w:ilvl="6">
      <w:numFmt w:val="bullet"/>
      <w:lvlText w:val="•"/>
      <w:lvlJc w:val="left"/>
      <w:pPr>
        <w:ind w:left="5836" w:hanging="161"/>
      </w:pPr>
    </w:lvl>
    <w:lvl w:ilvl="7">
      <w:numFmt w:val="bullet"/>
      <w:lvlText w:val="•"/>
      <w:lvlJc w:val="left"/>
      <w:pPr>
        <w:ind w:left="6762" w:hanging="161"/>
      </w:pPr>
    </w:lvl>
    <w:lvl w:ilvl="8">
      <w:numFmt w:val="bullet"/>
      <w:lvlText w:val="•"/>
      <w:lvlJc w:val="left"/>
      <w:pPr>
        <w:ind w:left="7688" w:hanging="161"/>
      </w:pPr>
    </w:lvl>
  </w:abstractNum>
  <w:abstractNum w:abstractNumId="1" w15:restartNumberingAfterBreak="0">
    <w:nsid w:val="10D733CD"/>
    <w:multiLevelType w:val="multilevel"/>
    <w:tmpl w:val="E7487C60"/>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2143C80"/>
    <w:multiLevelType w:val="multilevel"/>
    <w:tmpl w:val="8290482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C02D62"/>
    <w:multiLevelType w:val="multilevel"/>
    <w:tmpl w:val="9922204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FF44E02"/>
    <w:multiLevelType w:val="multilevel"/>
    <w:tmpl w:val="F050D4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4BF0395"/>
    <w:multiLevelType w:val="multilevel"/>
    <w:tmpl w:val="2EA6E1CA"/>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6707182"/>
    <w:multiLevelType w:val="multilevel"/>
    <w:tmpl w:val="CC42762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B430FF2"/>
    <w:multiLevelType w:val="multilevel"/>
    <w:tmpl w:val="B740AE68"/>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71388C"/>
    <w:multiLevelType w:val="multilevel"/>
    <w:tmpl w:val="3F482CE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A566726"/>
    <w:multiLevelType w:val="multilevel"/>
    <w:tmpl w:val="C22A5030"/>
    <w:lvl w:ilvl="0">
      <w:start w:val="1"/>
      <w:numFmt w:val="decimal"/>
      <w:lvlText w:val="%1."/>
      <w:lvlJc w:val="left"/>
      <w:pPr>
        <w:ind w:left="360" w:hanging="360"/>
      </w:pPr>
      <w:rPr>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08F1940"/>
    <w:multiLevelType w:val="multilevel"/>
    <w:tmpl w:val="B5B2EFA6"/>
    <w:lvl w:ilvl="0">
      <w:start w:val="1"/>
      <w:numFmt w:val="decimal"/>
      <w:lvlText w:val="%1."/>
      <w:lvlJc w:val="left"/>
      <w:pPr>
        <w:ind w:left="360" w:hanging="360"/>
      </w:pPr>
      <w:rPr>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7C35F72"/>
    <w:multiLevelType w:val="multilevel"/>
    <w:tmpl w:val="CC1E455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2" w15:restartNumberingAfterBreak="0">
    <w:nsid w:val="69E37E09"/>
    <w:multiLevelType w:val="multilevel"/>
    <w:tmpl w:val="E18411F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B4F506C"/>
    <w:multiLevelType w:val="multilevel"/>
    <w:tmpl w:val="228A6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52865368">
    <w:abstractNumId w:val="0"/>
  </w:num>
  <w:num w:numId="2" w16cid:durableId="1130828863">
    <w:abstractNumId w:val="2"/>
  </w:num>
  <w:num w:numId="3" w16cid:durableId="2004312033">
    <w:abstractNumId w:val="13"/>
  </w:num>
  <w:num w:numId="4" w16cid:durableId="2023124641">
    <w:abstractNumId w:val="1"/>
  </w:num>
  <w:num w:numId="5" w16cid:durableId="1464539611">
    <w:abstractNumId w:val="3"/>
  </w:num>
  <w:num w:numId="6" w16cid:durableId="595601504">
    <w:abstractNumId w:val="5"/>
  </w:num>
  <w:num w:numId="7" w16cid:durableId="717701103">
    <w:abstractNumId w:val="9"/>
  </w:num>
  <w:num w:numId="8" w16cid:durableId="109979123">
    <w:abstractNumId w:val="6"/>
  </w:num>
  <w:num w:numId="9" w16cid:durableId="282854672">
    <w:abstractNumId w:val="8"/>
  </w:num>
  <w:num w:numId="10" w16cid:durableId="1530341506">
    <w:abstractNumId w:val="10"/>
  </w:num>
  <w:num w:numId="11" w16cid:durableId="864565327">
    <w:abstractNumId w:val="7"/>
  </w:num>
  <w:num w:numId="12" w16cid:durableId="1700278758">
    <w:abstractNumId w:val="12"/>
  </w:num>
  <w:num w:numId="13" w16cid:durableId="185560281">
    <w:abstractNumId w:val="4"/>
  </w:num>
  <w:num w:numId="14" w16cid:durableId="21177493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E7"/>
    <w:rsid w:val="000B2D9A"/>
    <w:rsid w:val="00225BD9"/>
    <w:rsid w:val="00230B7A"/>
    <w:rsid w:val="003A6E7A"/>
    <w:rsid w:val="004B6F0F"/>
    <w:rsid w:val="00547BCA"/>
    <w:rsid w:val="009A3FA2"/>
    <w:rsid w:val="00A91BD2"/>
    <w:rsid w:val="00CA22DC"/>
    <w:rsid w:val="00DC54D4"/>
    <w:rsid w:val="00E54673"/>
    <w:rsid w:val="00EC67E7"/>
    <w:rsid w:val="00FD6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0D2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7E7"/>
    <w:pPr>
      <w:widowControl w:val="0"/>
      <w:autoSpaceDE w:val="0"/>
      <w:autoSpaceDN w:val="0"/>
    </w:pPr>
    <w:rPr>
      <w:rFonts w:ascii="Calibri" w:eastAsia="Calibri" w:hAnsi="Calibri" w:cs="Calibri"/>
      <w:kern w:val="0"/>
      <w:sz w:val="22"/>
      <w:szCs w:val="22"/>
      <w14:ligatures w14:val="none"/>
    </w:rPr>
  </w:style>
  <w:style w:type="paragraph" w:styleId="Heading2">
    <w:name w:val="heading 2"/>
    <w:basedOn w:val="Normal"/>
    <w:link w:val="Heading2Char"/>
    <w:uiPriority w:val="9"/>
    <w:unhideWhenUsed/>
    <w:qFormat/>
    <w:rsid w:val="00EC67E7"/>
    <w:pPr>
      <w:ind w:left="1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67E7"/>
    <w:rPr>
      <w:rFonts w:ascii="Calibri" w:eastAsia="Calibri" w:hAnsi="Calibri" w:cs="Calibri"/>
      <w:b/>
      <w:bCs/>
      <w:kern w:val="0"/>
      <w:sz w:val="22"/>
      <w:szCs w:val="22"/>
      <w14:ligatures w14:val="none"/>
    </w:rPr>
  </w:style>
  <w:style w:type="paragraph" w:styleId="Header">
    <w:name w:val="header"/>
    <w:basedOn w:val="Normal"/>
    <w:link w:val="HeaderChar"/>
    <w:uiPriority w:val="99"/>
    <w:unhideWhenUsed/>
    <w:rsid w:val="00E54673"/>
    <w:pPr>
      <w:tabs>
        <w:tab w:val="center" w:pos="4680"/>
        <w:tab w:val="right" w:pos="9360"/>
      </w:tabs>
    </w:pPr>
  </w:style>
  <w:style w:type="character" w:customStyle="1" w:styleId="HeaderChar">
    <w:name w:val="Header Char"/>
    <w:basedOn w:val="DefaultParagraphFont"/>
    <w:link w:val="Header"/>
    <w:uiPriority w:val="99"/>
    <w:rsid w:val="00E54673"/>
    <w:rPr>
      <w:rFonts w:ascii="Calibri" w:eastAsia="Calibri" w:hAnsi="Calibri" w:cs="Calibri"/>
      <w:kern w:val="0"/>
      <w:sz w:val="22"/>
      <w:szCs w:val="22"/>
      <w14:ligatures w14:val="none"/>
    </w:rPr>
  </w:style>
  <w:style w:type="paragraph" w:styleId="Footer">
    <w:name w:val="footer"/>
    <w:basedOn w:val="Normal"/>
    <w:link w:val="FooterChar"/>
    <w:uiPriority w:val="99"/>
    <w:unhideWhenUsed/>
    <w:rsid w:val="00E54673"/>
    <w:pPr>
      <w:tabs>
        <w:tab w:val="center" w:pos="4680"/>
        <w:tab w:val="right" w:pos="9360"/>
      </w:tabs>
    </w:pPr>
  </w:style>
  <w:style w:type="character" w:customStyle="1" w:styleId="FooterChar">
    <w:name w:val="Footer Char"/>
    <w:basedOn w:val="DefaultParagraphFont"/>
    <w:link w:val="Footer"/>
    <w:uiPriority w:val="99"/>
    <w:rsid w:val="00E54673"/>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ubmed.ncbi.nlm.nih.gov/35993143/" TargetMode="External"/><Relationship Id="rId26" Type="http://schemas.openxmlformats.org/officeDocument/2006/relationships/hyperlink" Target="https://pubmed.ncbi.nlm.nih.gov/32209650/" TargetMode="External"/><Relationship Id="rId39" Type="http://schemas.openxmlformats.org/officeDocument/2006/relationships/hyperlink" Target="https://pubmed.ncbi.nlm.nih.gov/32075406/" TargetMode="External"/><Relationship Id="rId21" Type="http://schemas.openxmlformats.org/officeDocument/2006/relationships/hyperlink" Target="https://pubmed.ncbi.nlm.nih.gov/35993143/" TargetMode="External"/><Relationship Id="rId34" Type="http://schemas.openxmlformats.org/officeDocument/2006/relationships/hyperlink" Target="https://pubmed.ncbi.nlm.nih.gov/33250209/" TargetMode="External"/><Relationship Id="rId42" Type="http://schemas.openxmlformats.org/officeDocument/2006/relationships/hyperlink" Target="https://pubmed.ncbi.nlm.nih.gov/33023473/" TargetMode="External"/><Relationship Id="rId47" Type="http://schemas.openxmlformats.org/officeDocument/2006/relationships/hyperlink" Target="https://pubmed.ncbi.nlm.nih.gov/32209650/" TargetMode="External"/><Relationship Id="rId50" Type="http://schemas.openxmlformats.org/officeDocument/2006/relationships/hyperlink" Target="https://pubmed.ncbi.nlm.nih.gov/33250209/" TargetMode="External"/><Relationship Id="rId55" Type="http://schemas.openxmlformats.org/officeDocument/2006/relationships/hyperlink" Target="https://pubmed.ncbi.nlm.nih.gov/33023473/" TargetMode="External"/><Relationship Id="rId63" Type="http://schemas.openxmlformats.org/officeDocument/2006/relationships/hyperlink" Target="https://pubmed.ncbi.nlm.nih.gov/21243447/" TargetMode="External"/><Relationship Id="rId68" Type="http://schemas.openxmlformats.org/officeDocument/2006/relationships/hyperlink" Target="https://pubmed.ncbi.nlm.nih.gov/30589090/" TargetMode="External"/><Relationship Id="rId76" Type="http://schemas.openxmlformats.org/officeDocument/2006/relationships/hyperlink" Target="https://pubmed.ncbi.nlm.nih.gov/34160823/" TargetMode="External"/><Relationship Id="rId7" Type="http://schemas.openxmlformats.org/officeDocument/2006/relationships/hyperlink" Target="https://www.lundbeck.com/content/dam/lundbeck-com/americas/united-states/products/neurology/vyepti_pi_us_en.pdf" TargetMode="External"/><Relationship Id="rId71" Type="http://schemas.openxmlformats.org/officeDocument/2006/relationships/hyperlink" Target="https://pubmed.ncbi.nlm.nih.gov/36284281/" TargetMode="External"/><Relationship Id="rId2" Type="http://schemas.openxmlformats.org/officeDocument/2006/relationships/styles" Target="styles.xml"/><Relationship Id="rId16" Type="http://schemas.openxmlformats.org/officeDocument/2006/relationships/hyperlink" Target="https://www.lundbeck.com/content/dam/lundbeck-com/americas/united-states/products/neurology/vyepti_pi_us_en.pdf" TargetMode="External"/><Relationship Id="rId29" Type="http://schemas.openxmlformats.org/officeDocument/2006/relationships/hyperlink" Target="https://pubmed.ncbi.nlm.nih.gov/32209650/" TargetMode="External"/><Relationship Id="rId11" Type="http://schemas.openxmlformats.org/officeDocument/2006/relationships/header" Target="header2.xml"/><Relationship Id="rId24" Type="http://schemas.openxmlformats.org/officeDocument/2006/relationships/hyperlink" Target="https://pubmed.ncbi.nlm.nih.gov/33740902/" TargetMode="External"/><Relationship Id="rId32" Type="http://schemas.openxmlformats.org/officeDocument/2006/relationships/hyperlink" Target="https://pubmed.ncbi.nlm.nih.gov/35716692/" TargetMode="External"/><Relationship Id="rId37" Type="http://schemas.openxmlformats.org/officeDocument/2006/relationships/hyperlink" Target="https://pubmed.ncbi.nlm.nih.gov/32075406/" TargetMode="External"/><Relationship Id="rId40" Type="http://schemas.openxmlformats.org/officeDocument/2006/relationships/hyperlink" Target="https://pubmed.ncbi.nlm.nih.gov/33023473/" TargetMode="External"/><Relationship Id="rId45" Type="http://schemas.openxmlformats.org/officeDocument/2006/relationships/hyperlink" Target="https://pubmed.ncbi.nlm.nih.gov/32209650/" TargetMode="External"/><Relationship Id="rId53" Type="http://schemas.openxmlformats.org/officeDocument/2006/relationships/hyperlink" Target="https://pubmed.ncbi.nlm.nih.gov/32075406/" TargetMode="External"/><Relationship Id="rId58" Type="http://schemas.openxmlformats.org/officeDocument/2006/relationships/hyperlink" Target="https://pubmed.ncbi.nlm.nih.gov/33023473/" TargetMode="External"/><Relationship Id="rId66" Type="http://schemas.openxmlformats.org/officeDocument/2006/relationships/hyperlink" Target="https://pubmed.ncbi.nlm.nih.gov/30589090/" TargetMode="External"/><Relationship Id="rId74" Type="http://schemas.openxmlformats.org/officeDocument/2006/relationships/hyperlink" Target="https://pubmed.ncbi.nlm.nih.gov/34160823/"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pubmed.ncbi.nlm.nih.gov/33740902/" TargetMode="External"/><Relationship Id="rId28" Type="http://schemas.openxmlformats.org/officeDocument/2006/relationships/hyperlink" Target="https://pubmed.ncbi.nlm.nih.gov/32209650/" TargetMode="External"/><Relationship Id="rId36" Type="http://schemas.openxmlformats.org/officeDocument/2006/relationships/hyperlink" Target="https://pubmed.ncbi.nlm.nih.gov/33250209/" TargetMode="External"/><Relationship Id="rId49" Type="http://schemas.openxmlformats.org/officeDocument/2006/relationships/hyperlink" Target="https://pubmed.ncbi.nlm.nih.gov/33250209/" TargetMode="External"/><Relationship Id="rId57" Type="http://schemas.openxmlformats.org/officeDocument/2006/relationships/hyperlink" Target="https://pubmed.ncbi.nlm.nih.gov/33023473/" TargetMode="External"/><Relationship Id="rId61" Type="http://schemas.openxmlformats.org/officeDocument/2006/relationships/hyperlink" Target="https://www.ncbi.nlm.nih.gov/pmc/articles/PMC8382370/" TargetMode="External"/><Relationship Id="rId10" Type="http://schemas.openxmlformats.org/officeDocument/2006/relationships/header" Target="header1.xml"/><Relationship Id="rId19" Type="http://schemas.openxmlformats.org/officeDocument/2006/relationships/hyperlink" Target="https://pubmed.ncbi.nlm.nih.gov/35993143/" TargetMode="External"/><Relationship Id="rId31" Type="http://schemas.openxmlformats.org/officeDocument/2006/relationships/hyperlink" Target="https://pubmed.ncbi.nlm.nih.gov/35716692/" TargetMode="External"/><Relationship Id="rId44" Type="http://schemas.openxmlformats.org/officeDocument/2006/relationships/hyperlink" Target="https://pubmed.ncbi.nlm.nih.gov/32209650/" TargetMode="External"/><Relationship Id="rId52" Type="http://schemas.openxmlformats.org/officeDocument/2006/relationships/hyperlink" Target="https://pubmed.ncbi.nlm.nih.gov/32075406/" TargetMode="External"/><Relationship Id="rId60" Type="http://schemas.openxmlformats.org/officeDocument/2006/relationships/hyperlink" Target="https://www.ncbi.nlm.nih.gov/pmc/articles/PMC8382370/" TargetMode="External"/><Relationship Id="rId65" Type="http://schemas.openxmlformats.org/officeDocument/2006/relationships/hyperlink" Target="https://pubmed.ncbi.nlm.nih.gov/30589090/" TargetMode="External"/><Relationship Id="rId73" Type="http://schemas.openxmlformats.org/officeDocument/2006/relationships/hyperlink" Target="https://pubmed.ncbi.nlm.nih.gov/34160823/"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vyeptihcp.com/" TargetMode="External"/><Relationship Id="rId14" Type="http://schemas.openxmlformats.org/officeDocument/2006/relationships/header" Target="header3.xml"/><Relationship Id="rId22" Type="http://schemas.openxmlformats.org/officeDocument/2006/relationships/hyperlink" Target="https://pubmed.ncbi.nlm.nih.gov/33740902/" TargetMode="External"/><Relationship Id="rId27" Type="http://schemas.openxmlformats.org/officeDocument/2006/relationships/hyperlink" Target="https://pubmed.ncbi.nlm.nih.gov/32209650/" TargetMode="External"/><Relationship Id="rId30" Type="http://schemas.openxmlformats.org/officeDocument/2006/relationships/hyperlink" Target="https://pubmed.ncbi.nlm.nih.gov/35716692/" TargetMode="External"/><Relationship Id="rId35" Type="http://schemas.openxmlformats.org/officeDocument/2006/relationships/hyperlink" Target="https://pubmed.ncbi.nlm.nih.gov/33250209/" TargetMode="External"/><Relationship Id="rId43" Type="http://schemas.openxmlformats.org/officeDocument/2006/relationships/hyperlink" Target="https://pubmed.ncbi.nlm.nih.gov/33023473/" TargetMode="External"/><Relationship Id="rId48" Type="http://schemas.openxmlformats.org/officeDocument/2006/relationships/hyperlink" Target="https://pubmed.ncbi.nlm.nih.gov/33250209/" TargetMode="External"/><Relationship Id="rId56" Type="http://schemas.openxmlformats.org/officeDocument/2006/relationships/hyperlink" Target="https://pubmed.ncbi.nlm.nih.gov/33023473/" TargetMode="External"/><Relationship Id="rId64" Type="http://schemas.openxmlformats.org/officeDocument/2006/relationships/hyperlink" Target="https://pubmed.ncbi.nlm.nih.gov/21243447/" TargetMode="External"/><Relationship Id="rId69" Type="http://schemas.openxmlformats.org/officeDocument/2006/relationships/hyperlink" Target="https://pubmed.ncbi.nlm.nih.gov/36284281/" TargetMode="External"/><Relationship Id="rId77" Type="http://schemas.openxmlformats.org/officeDocument/2006/relationships/fontTable" Target="fontTable.xml"/><Relationship Id="rId8" Type="http://schemas.openxmlformats.org/officeDocument/2006/relationships/hyperlink" Target="https://www.lundbeck.com/content/dam/lundbeck-com/americas/united-states/products/neurology/vyepti_ppi_us_en.pdf" TargetMode="External"/><Relationship Id="rId51" Type="http://schemas.openxmlformats.org/officeDocument/2006/relationships/hyperlink" Target="https://pubmed.ncbi.nlm.nih.gov/32075406/" TargetMode="External"/><Relationship Id="rId72" Type="http://schemas.openxmlformats.org/officeDocument/2006/relationships/hyperlink" Target="https://pubmed.ncbi.nlm.nih.gov/36284281/"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undbeck.com/content/dam/lundbeck-com/americas/united-states/products/neurology/vyepti_pi_us_en.pdf" TargetMode="External"/><Relationship Id="rId25" Type="http://schemas.openxmlformats.org/officeDocument/2006/relationships/hyperlink" Target="https://pubmed.ncbi.nlm.nih.gov/33740902/" TargetMode="External"/><Relationship Id="rId33" Type="http://schemas.openxmlformats.org/officeDocument/2006/relationships/hyperlink" Target="https://pubmed.ncbi.nlm.nih.gov/35716692/" TargetMode="External"/><Relationship Id="rId38" Type="http://schemas.openxmlformats.org/officeDocument/2006/relationships/hyperlink" Target="https://pubmed.ncbi.nlm.nih.gov/32075406/" TargetMode="External"/><Relationship Id="rId46" Type="http://schemas.openxmlformats.org/officeDocument/2006/relationships/hyperlink" Target="https://pubmed.ncbi.nlm.nih.gov/32209650/" TargetMode="External"/><Relationship Id="rId59" Type="http://schemas.openxmlformats.org/officeDocument/2006/relationships/hyperlink" Target="https://www.ncbi.nlm.nih.gov/pmc/articles/PMC8382370/" TargetMode="External"/><Relationship Id="rId67" Type="http://schemas.openxmlformats.org/officeDocument/2006/relationships/hyperlink" Target="https://pubmed.ncbi.nlm.nih.gov/30589090/" TargetMode="External"/><Relationship Id="rId20" Type="http://schemas.openxmlformats.org/officeDocument/2006/relationships/hyperlink" Target="https://pubmed.ncbi.nlm.nih.gov/35993143/" TargetMode="External"/><Relationship Id="rId41" Type="http://schemas.openxmlformats.org/officeDocument/2006/relationships/hyperlink" Target="https://pubmed.ncbi.nlm.nih.gov/33023473/" TargetMode="External"/><Relationship Id="rId54" Type="http://schemas.openxmlformats.org/officeDocument/2006/relationships/hyperlink" Target="https://pubmed.ncbi.nlm.nih.gov/32075406/" TargetMode="External"/><Relationship Id="rId62" Type="http://schemas.openxmlformats.org/officeDocument/2006/relationships/hyperlink" Target="https://pubmed.ncbi.nlm.nih.gov/21243447/" TargetMode="External"/><Relationship Id="rId70" Type="http://schemas.openxmlformats.org/officeDocument/2006/relationships/hyperlink" Target="https://pubmed.ncbi.nlm.nih.gov/36284281/" TargetMode="External"/><Relationship Id="rId75" Type="http://schemas.openxmlformats.org/officeDocument/2006/relationships/hyperlink" Target="https://pubmed.ncbi.nlm.nih.gov/34160823/"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2244</Words>
  <Characters>12793</Characters>
  <Application>Microsoft Office Word</Application>
  <DocSecurity>0</DocSecurity>
  <Lines>106</Lines>
  <Paragraphs>30</Paragraphs>
  <ScaleCrop>false</ScaleCrop>
  <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2023-09-13T17:19:00Z</dcterms:created>
  <dcterms:modified xsi:type="dcterms:W3CDTF">2023-09-13T17:19:00Z</dcterms:modified>
</cp:coreProperties>
</file>